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3" w:rsidRPr="00946AD3" w:rsidRDefault="002A7116" w:rsidP="002A7116">
      <w:pPr>
        <w:jc w:val="center"/>
        <w:rPr>
          <w:rFonts w:ascii="Monotype Corsiva" w:hAnsi="Monotype Corsiva"/>
          <w:b/>
          <w:sz w:val="48"/>
          <w:szCs w:val="48"/>
        </w:rPr>
      </w:pPr>
      <w:r w:rsidRPr="00946AD3">
        <w:rPr>
          <w:rFonts w:ascii="Monotype Corsiva" w:hAnsi="Monotype Corsiva"/>
          <w:b/>
          <w:sz w:val="48"/>
          <w:szCs w:val="48"/>
        </w:rPr>
        <w:t>Biuletyn</w:t>
      </w:r>
      <w:r w:rsidR="00F144D8" w:rsidRPr="00946AD3">
        <w:rPr>
          <w:rFonts w:ascii="Monotype Corsiva" w:hAnsi="Monotype Corsiva"/>
          <w:b/>
          <w:sz w:val="48"/>
          <w:szCs w:val="48"/>
        </w:rPr>
        <w:t xml:space="preserve"> LGD</w:t>
      </w:r>
    </w:p>
    <w:p w:rsidR="002A7116" w:rsidRDefault="002A7116" w:rsidP="002A7116">
      <w:pPr>
        <w:jc w:val="center"/>
        <w:rPr>
          <w:b/>
        </w:rPr>
      </w:pPr>
    </w:p>
    <w:p w:rsidR="00F144D8" w:rsidRPr="001D0834" w:rsidRDefault="00F144D8" w:rsidP="00F144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Lokalna Grupa Działania Czarnoziem na Soli jest szczególnym rodzajem stowarzyszenia, które łączy podmioty społeczne, gospodarcze, publiczne oraz mieszkańców powiatu inowrocławskiego we wspólnym działaniu na rzecz rozwoju lokalnego. </w:t>
      </w:r>
      <w:r w:rsidR="001D0834">
        <w:rPr>
          <w:rFonts w:ascii="Times New Roman" w:hAnsi="Times New Roman" w:cs="Times New Roman"/>
          <w:sz w:val="24"/>
          <w:szCs w:val="24"/>
        </w:rPr>
        <w:br/>
      </w:r>
      <w:r w:rsidRPr="001D0834">
        <w:rPr>
          <w:rFonts w:ascii="Times New Roman" w:hAnsi="Times New Roman" w:cs="Times New Roman"/>
          <w:sz w:val="24"/>
          <w:szCs w:val="24"/>
        </w:rPr>
        <w:t xml:space="preserve">Lokalne Grupy Działania powstały, aby móc wdrażać program LEADER. Głównym celem tego programu jest budowanie kapitału społecznego na obszarze wiejskim poprzez aktywizację i integrację mieszkańców, powstawanie nowych miejsc pracy, lepsze wykorzystanie posiadanych zasobów przyrodniczych, historycznych, kulturowych oraz gospodarczych. </w:t>
      </w:r>
    </w:p>
    <w:p w:rsidR="002B70DC" w:rsidRPr="001D0834" w:rsidRDefault="006B4581" w:rsidP="00F144D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Obszar działania Stowarzyszenia LGD Czarnoziem na Soli znajduje się </w:t>
      </w:r>
      <w:r w:rsidR="001D0834">
        <w:rPr>
          <w:rFonts w:ascii="Times New Roman" w:hAnsi="Times New Roman" w:cs="Times New Roman"/>
          <w:sz w:val="24"/>
          <w:szCs w:val="24"/>
        </w:rPr>
        <w:br/>
      </w:r>
      <w:r w:rsidRPr="001D0834">
        <w:rPr>
          <w:rFonts w:ascii="Times New Roman" w:hAnsi="Times New Roman" w:cs="Times New Roman"/>
          <w:sz w:val="24"/>
          <w:szCs w:val="24"/>
        </w:rPr>
        <w:t xml:space="preserve">w południowej części województwa kujawsko-pomorskiego i obejmuje osiem gmin powiatu inowrocławskiego, w tym: cztery gminy miejsko-wiejskie (Gniewkowo, Janikowo, Kruszwica </w:t>
      </w:r>
      <w:r w:rsidR="00F144D8" w:rsidRPr="001D0834">
        <w:rPr>
          <w:rFonts w:ascii="Times New Roman" w:hAnsi="Times New Roman" w:cs="Times New Roman"/>
          <w:sz w:val="24"/>
          <w:szCs w:val="24"/>
        </w:rPr>
        <w:br/>
      </w:r>
      <w:r w:rsidRPr="001D0834">
        <w:rPr>
          <w:rFonts w:ascii="Times New Roman" w:hAnsi="Times New Roman" w:cs="Times New Roman"/>
          <w:sz w:val="24"/>
          <w:szCs w:val="24"/>
        </w:rPr>
        <w:t xml:space="preserve">i Pakość) oraz cztery gminy wiejskie (Dąbrowa Biskupia, Inowrocław, Rojewo i Złotniki Kujawskie). </w:t>
      </w:r>
      <w:r w:rsidR="00E11705" w:rsidRPr="001D0834">
        <w:rPr>
          <w:rFonts w:ascii="Times New Roman" w:hAnsi="Times New Roman" w:cs="Times New Roman"/>
          <w:sz w:val="24"/>
          <w:szCs w:val="24"/>
        </w:rPr>
        <w:t xml:space="preserve">Obszar LGD zamieszkuje 88 681 osób, a jego łączna powierzchnia wynosi </w:t>
      </w:r>
      <w:r w:rsidR="00B26E2D" w:rsidRPr="001D0834">
        <w:rPr>
          <w:rFonts w:ascii="Times New Roman" w:hAnsi="Times New Roman" w:cs="Times New Roman"/>
          <w:sz w:val="24"/>
          <w:szCs w:val="24"/>
        </w:rPr>
        <w:br/>
      </w:r>
      <w:r w:rsidR="00E11705" w:rsidRPr="001D0834">
        <w:rPr>
          <w:rFonts w:ascii="Times New Roman" w:hAnsi="Times New Roman" w:cs="Times New Roman"/>
          <w:sz w:val="24"/>
          <w:szCs w:val="24"/>
        </w:rPr>
        <w:t>1 196 km².</w:t>
      </w:r>
    </w:p>
    <w:p w:rsidR="00BC0043" w:rsidRPr="001D0834" w:rsidRDefault="008E5FE7" w:rsidP="008E5F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Ilustracja nr 1. </w:t>
      </w:r>
      <w:r w:rsidR="00BC0043" w:rsidRPr="001D0834">
        <w:rPr>
          <w:rFonts w:ascii="Times New Roman" w:hAnsi="Times New Roman" w:cs="Times New Roman"/>
          <w:b/>
          <w:sz w:val="24"/>
          <w:szCs w:val="24"/>
        </w:rPr>
        <w:t>Obszar działania Stowarzyszenia Lokalna Grupa Działania Czarnoziem na Soli</w:t>
      </w:r>
    </w:p>
    <w:p w:rsidR="00F144D8" w:rsidRDefault="00F144D8" w:rsidP="00F144D8">
      <w:pPr>
        <w:spacing w:after="0" w:line="360" w:lineRule="auto"/>
        <w:ind w:firstLine="851"/>
        <w:jc w:val="both"/>
        <w:rPr>
          <w:sz w:val="24"/>
          <w:szCs w:val="24"/>
        </w:rPr>
      </w:pPr>
    </w:p>
    <w:p w:rsidR="00F144D8" w:rsidRDefault="00BC0043" w:rsidP="00F144D8">
      <w:pPr>
        <w:spacing w:after="0" w:line="360" w:lineRule="auto"/>
        <w:ind w:firstLine="85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5DC74D8">
            <wp:extent cx="3767143" cy="3038475"/>
            <wp:effectExtent l="0" t="0" r="508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307" cy="304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FE7" w:rsidRPr="006313F2" w:rsidRDefault="006313F2" w:rsidP="008E5FE7">
      <w:pPr>
        <w:spacing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313F2">
        <w:rPr>
          <w:rFonts w:ascii="Times New Roman" w:hAnsi="Times New Roman" w:cs="Times New Roman"/>
          <w:b/>
          <w:i/>
          <w:sz w:val="18"/>
          <w:szCs w:val="18"/>
        </w:rPr>
        <w:t>Opracowano na podstawie Lokalnej Strategii Rozwoju na lata 2008-2015 Stowarzyszenia Lokalna Grupa Działania Czarnoziem na Soli.</w:t>
      </w:r>
    </w:p>
    <w:p w:rsidR="002B70DC" w:rsidRPr="001D0834" w:rsidRDefault="002B70DC" w:rsidP="008E5FE7">
      <w:pPr>
        <w:spacing w:line="360" w:lineRule="auto"/>
        <w:rPr>
          <w:rFonts w:ascii="Times New Roman" w:hAnsi="Times New Roman" w:cs="Times New Roman"/>
          <w:b/>
        </w:rPr>
      </w:pPr>
      <w:r w:rsidRPr="001D0834">
        <w:rPr>
          <w:rFonts w:ascii="Times New Roman" w:hAnsi="Times New Roman" w:cs="Times New Roman"/>
          <w:b/>
        </w:rPr>
        <w:lastRenderedPageBreak/>
        <w:t xml:space="preserve">Tabela </w:t>
      </w:r>
      <w:r w:rsidR="00695528">
        <w:rPr>
          <w:rFonts w:ascii="Times New Roman" w:hAnsi="Times New Roman" w:cs="Times New Roman"/>
          <w:b/>
        </w:rPr>
        <w:t xml:space="preserve">nr </w:t>
      </w:r>
      <w:r w:rsidRPr="001D0834">
        <w:rPr>
          <w:rFonts w:ascii="Times New Roman" w:hAnsi="Times New Roman" w:cs="Times New Roman"/>
          <w:b/>
        </w:rPr>
        <w:t>1. Gminy z obszaru LGD Czarnoziem na Soli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67"/>
        <w:gridCol w:w="1842"/>
        <w:gridCol w:w="6"/>
        <w:gridCol w:w="1837"/>
        <w:gridCol w:w="1844"/>
      </w:tblGrid>
      <w:tr w:rsidR="002B70DC" w:rsidTr="008E5FE7">
        <w:tc>
          <w:tcPr>
            <w:tcW w:w="817" w:type="dxa"/>
            <w:shd w:val="pct20" w:color="auto" w:fill="auto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867" w:type="dxa"/>
            <w:shd w:val="pct20" w:color="auto" w:fill="auto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Gminy</w:t>
            </w:r>
          </w:p>
        </w:tc>
        <w:tc>
          <w:tcPr>
            <w:tcW w:w="1842" w:type="dxa"/>
            <w:shd w:val="pct20" w:color="auto" w:fill="auto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 Gminy</w:t>
            </w:r>
          </w:p>
        </w:tc>
        <w:tc>
          <w:tcPr>
            <w:tcW w:w="1843" w:type="dxa"/>
            <w:gridSpan w:val="2"/>
            <w:shd w:val="pct20" w:color="auto" w:fill="auto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Powierzchnia (km²)</w:t>
            </w:r>
          </w:p>
        </w:tc>
        <w:tc>
          <w:tcPr>
            <w:tcW w:w="1844" w:type="dxa"/>
            <w:shd w:val="pct20" w:color="auto" w:fill="auto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ludności</w:t>
            </w:r>
          </w:p>
        </w:tc>
      </w:tr>
      <w:tr w:rsidR="002B70DC" w:rsidTr="008E5FE7">
        <w:tc>
          <w:tcPr>
            <w:tcW w:w="817" w:type="dxa"/>
          </w:tcPr>
          <w:p w:rsidR="002B70DC" w:rsidRDefault="002B70DC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Dąbrowa Biskupia</w:t>
            </w:r>
          </w:p>
        </w:tc>
        <w:tc>
          <w:tcPr>
            <w:tcW w:w="1842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wiejska</w:t>
            </w:r>
          </w:p>
        </w:tc>
        <w:tc>
          <w:tcPr>
            <w:tcW w:w="1843" w:type="dxa"/>
            <w:gridSpan w:val="2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4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5 176</w:t>
            </w:r>
          </w:p>
        </w:tc>
      </w:tr>
      <w:tr w:rsidR="002B70DC" w:rsidTr="008E5FE7">
        <w:tc>
          <w:tcPr>
            <w:tcW w:w="81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Gniewkowo</w:t>
            </w:r>
          </w:p>
        </w:tc>
        <w:tc>
          <w:tcPr>
            <w:tcW w:w="1842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miejsko-wiejska</w:t>
            </w:r>
          </w:p>
        </w:tc>
        <w:tc>
          <w:tcPr>
            <w:tcW w:w="1843" w:type="dxa"/>
            <w:gridSpan w:val="2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44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14 831</w:t>
            </w:r>
          </w:p>
        </w:tc>
      </w:tr>
      <w:tr w:rsidR="002B70DC" w:rsidTr="008E5FE7">
        <w:tc>
          <w:tcPr>
            <w:tcW w:w="81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Inowrocław</w:t>
            </w:r>
          </w:p>
        </w:tc>
        <w:tc>
          <w:tcPr>
            <w:tcW w:w="1842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wiejska</w:t>
            </w:r>
          </w:p>
        </w:tc>
        <w:tc>
          <w:tcPr>
            <w:tcW w:w="1843" w:type="dxa"/>
            <w:gridSpan w:val="2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4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11 538</w:t>
            </w:r>
          </w:p>
        </w:tc>
      </w:tr>
      <w:tr w:rsidR="002B70DC" w:rsidTr="008E5FE7">
        <w:tc>
          <w:tcPr>
            <w:tcW w:w="81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Janikowo</w:t>
            </w:r>
          </w:p>
        </w:tc>
        <w:tc>
          <w:tcPr>
            <w:tcW w:w="1842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miejsko-wiejska</w:t>
            </w:r>
          </w:p>
        </w:tc>
        <w:tc>
          <w:tcPr>
            <w:tcW w:w="1843" w:type="dxa"/>
            <w:gridSpan w:val="2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44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13 530</w:t>
            </w:r>
          </w:p>
        </w:tc>
      </w:tr>
      <w:tr w:rsidR="002B70DC" w:rsidTr="008E5FE7">
        <w:tc>
          <w:tcPr>
            <w:tcW w:w="81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Kruszwica</w:t>
            </w:r>
          </w:p>
        </w:tc>
        <w:tc>
          <w:tcPr>
            <w:tcW w:w="1842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miejsko-wiejska</w:t>
            </w:r>
          </w:p>
        </w:tc>
        <w:tc>
          <w:tcPr>
            <w:tcW w:w="1843" w:type="dxa"/>
            <w:gridSpan w:val="2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844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19 849</w:t>
            </w:r>
          </w:p>
        </w:tc>
      </w:tr>
      <w:tr w:rsidR="002B70DC" w:rsidTr="008E5FE7">
        <w:tc>
          <w:tcPr>
            <w:tcW w:w="81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67" w:type="dxa"/>
          </w:tcPr>
          <w:p w:rsidR="002B70DC" w:rsidRDefault="00A26E17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Pakość</w:t>
            </w:r>
          </w:p>
        </w:tc>
        <w:tc>
          <w:tcPr>
            <w:tcW w:w="1842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miejsko-wiejska</w:t>
            </w:r>
          </w:p>
        </w:tc>
        <w:tc>
          <w:tcPr>
            <w:tcW w:w="1843" w:type="dxa"/>
            <w:gridSpan w:val="2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844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9 885</w:t>
            </w:r>
          </w:p>
        </w:tc>
      </w:tr>
      <w:tr w:rsidR="002B70DC" w:rsidTr="008E5FE7">
        <w:tc>
          <w:tcPr>
            <w:tcW w:w="817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67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Rojewo</w:t>
            </w:r>
          </w:p>
        </w:tc>
        <w:tc>
          <w:tcPr>
            <w:tcW w:w="1842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wiejska</w:t>
            </w:r>
          </w:p>
        </w:tc>
        <w:tc>
          <w:tcPr>
            <w:tcW w:w="1843" w:type="dxa"/>
            <w:gridSpan w:val="2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844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4 755</w:t>
            </w:r>
          </w:p>
        </w:tc>
      </w:tr>
      <w:tr w:rsidR="002B70DC" w:rsidTr="008E5FE7">
        <w:tc>
          <w:tcPr>
            <w:tcW w:w="817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867" w:type="dxa"/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Złotniki Kujawskie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wiejska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B70DC" w:rsidRDefault="00B8714F" w:rsidP="0068786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</w:tr>
      <w:tr w:rsidR="00687867" w:rsidTr="008E5FE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684" w:type="dxa"/>
          <w:trHeight w:val="456"/>
        </w:trPr>
        <w:tc>
          <w:tcPr>
            <w:tcW w:w="1848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687867" w:rsidRPr="00687867" w:rsidRDefault="00687867" w:rsidP="0068786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786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37" w:type="dxa"/>
            <w:shd w:val="pct20" w:color="auto" w:fill="auto"/>
          </w:tcPr>
          <w:p w:rsidR="00687867" w:rsidRPr="00687867" w:rsidRDefault="00687867" w:rsidP="0068786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7867">
              <w:rPr>
                <w:b/>
                <w:sz w:val="20"/>
                <w:szCs w:val="20"/>
              </w:rPr>
              <w:t>1 195</w:t>
            </w:r>
          </w:p>
        </w:tc>
        <w:tc>
          <w:tcPr>
            <w:tcW w:w="1844" w:type="dxa"/>
            <w:shd w:val="pct20" w:color="auto" w:fill="auto"/>
          </w:tcPr>
          <w:p w:rsidR="00687867" w:rsidRPr="00687867" w:rsidRDefault="00687867" w:rsidP="0068786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687867">
              <w:rPr>
                <w:b/>
                <w:sz w:val="20"/>
                <w:szCs w:val="20"/>
              </w:rPr>
              <w:t>88 681</w:t>
            </w:r>
          </w:p>
        </w:tc>
      </w:tr>
    </w:tbl>
    <w:p w:rsidR="006313F2" w:rsidRPr="006313F2" w:rsidRDefault="006313F2" w:rsidP="006313F2">
      <w:pPr>
        <w:spacing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313F2">
        <w:rPr>
          <w:rFonts w:ascii="Times New Roman" w:hAnsi="Times New Roman" w:cs="Times New Roman"/>
          <w:b/>
          <w:i/>
          <w:sz w:val="18"/>
          <w:szCs w:val="18"/>
        </w:rPr>
        <w:t xml:space="preserve">Opracowano na podstawie Lokalnej Strategii Rozwoju na lata </w:t>
      </w:r>
      <w:r>
        <w:rPr>
          <w:rFonts w:ascii="Times New Roman" w:hAnsi="Times New Roman" w:cs="Times New Roman"/>
          <w:b/>
          <w:i/>
          <w:sz w:val="18"/>
          <w:szCs w:val="18"/>
        </w:rPr>
        <w:t>2014-2020</w:t>
      </w:r>
      <w:r w:rsidRPr="006313F2">
        <w:rPr>
          <w:rFonts w:ascii="Times New Roman" w:hAnsi="Times New Roman" w:cs="Times New Roman"/>
          <w:b/>
          <w:i/>
          <w:sz w:val="18"/>
          <w:szCs w:val="18"/>
        </w:rPr>
        <w:t xml:space="preserve"> Stowarzyszenia Lokalna Grupa Działania Czarnoziem na Soli.</w:t>
      </w:r>
    </w:p>
    <w:p w:rsidR="00695528" w:rsidRPr="001D0834" w:rsidRDefault="00695528" w:rsidP="00695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W Polsce na okres programowania 2014-2020 wybrano 322 LSR, w tym 24 </w:t>
      </w:r>
      <w:proofErr w:type="spellStart"/>
      <w:r w:rsidRPr="001D0834">
        <w:rPr>
          <w:rFonts w:ascii="Times New Roman" w:hAnsi="Times New Roman" w:cs="Times New Roman"/>
          <w:sz w:val="24"/>
          <w:szCs w:val="24"/>
        </w:rPr>
        <w:t>monofunduszowe</w:t>
      </w:r>
      <w:proofErr w:type="spellEnd"/>
      <w:r w:rsidRPr="001D0834">
        <w:rPr>
          <w:rFonts w:ascii="Times New Roman" w:hAnsi="Times New Roman" w:cs="Times New Roman"/>
          <w:sz w:val="24"/>
          <w:szCs w:val="24"/>
        </w:rPr>
        <w:t xml:space="preserve"> „rybackie”. W województwie kujawsko - pomorskim wybrano 28 Strategii Rozwoju Lokalnego Kierowanego przez Społeczność. Są to strategie opracowane przez następujące grupy LGD: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Stowarzyszenie „Partnerstwo dla </w:t>
      </w:r>
      <w:proofErr w:type="spellStart"/>
      <w:r w:rsidRPr="001D0834">
        <w:rPr>
          <w:rFonts w:ascii="Times New Roman" w:hAnsi="Times New Roman" w:cs="Times New Roman"/>
          <w:sz w:val="24"/>
          <w:szCs w:val="24"/>
        </w:rPr>
        <w:t>Krajny</w:t>
      </w:r>
      <w:proofErr w:type="spellEnd"/>
      <w:r w:rsidRPr="001D0834">
        <w:rPr>
          <w:rFonts w:ascii="Times New Roman" w:hAnsi="Times New Roman" w:cs="Times New Roman"/>
          <w:sz w:val="24"/>
          <w:szCs w:val="24"/>
        </w:rPr>
        <w:t xml:space="preserve"> i Pałuk”,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„Dla Miasta Torunia”,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Partnerstwo „Lokalna Grupa Działania Bory Tucholskie”,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„Pałuki Wspólna Sprawa”,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Bydgoska Lokalna Grupa Działania „Dwie Rzeki”,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Stowarzyszenie Lokalna Grupa Rybacka „Nasza </w:t>
      </w:r>
      <w:proofErr w:type="spellStart"/>
      <w:r w:rsidRPr="001D0834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Pr="001D0834">
        <w:rPr>
          <w:rFonts w:ascii="Times New Roman" w:hAnsi="Times New Roman" w:cs="Times New Roman"/>
          <w:sz w:val="24"/>
          <w:szCs w:val="24"/>
        </w:rPr>
        <w:t xml:space="preserve"> i Pałuki”,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Stowarzyszenie Nasza </w:t>
      </w:r>
      <w:proofErr w:type="spellStart"/>
      <w:r w:rsidRPr="001D0834">
        <w:rPr>
          <w:rFonts w:ascii="Times New Roman" w:hAnsi="Times New Roman" w:cs="Times New Roman"/>
          <w:sz w:val="24"/>
          <w:szCs w:val="24"/>
        </w:rPr>
        <w:t>Krajna</w:t>
      </w:r>
      <w:proofErr w:type="spellEnd"/>
      <w:r w:rsidRPr="001D0834">
        <w:rPr>
          <w:rFonts w:ascii="Times New Roman" w:hAnsi="Times New Roman" w:cs="Times New Roman"/>
          <w:sz w:val="24"/>
          <w:szCs w:val="24"/>
        </w:rPr>
        <w:t>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Dorzecza Zgłowiączki,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Ziemia Gotyku,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„Razem dla Powiatu Radziejowskiego”,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Gmin Dobrzyńskich Region Północ,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Partnerstwo dla Ziemi Kujawskiej,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834">
        <w:rPr>
          <w:rFonts w:ascii="Times New Roman" w:hAnsi="Times New Roman" w:cs="Times New Roman"/>
          <w:b/>
          <w:sz w:val="24"/>
          <w:szCs w:val="24"/>
        </w:rPr>
        <w:t>Stowarzyszenie Lokalna Grupa Działania „Czarnoziem na Soli”,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Ziemia Wąbrzeska,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Inowrocław,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lastRenderedPageBreak/>
        <w:t>Lokalna Grupa Działania „Trzy Doliny”,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 xml:space="preserve">Stowarzyszenie Lokalna Grupa Działania „Vistula Terra </w:t>
      </w:r>
      <w:proofErr w:type="spellStart"/>
      <w:r w:rsidRPr="001D0834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Pr="001D0834">
        <w:rPr>
          <w:rFonts w:ascii="Times New Roman" w:hAnsi="Times New Roman" w:cs="Times New Roman"/>
          <w:sz w:val="24"/>
          <w:szCs w:val="24"/>
        </w:rPr>
        <w:t xml:space="preserve"> Rozwój przez Tradycję”,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„Grudziądzki Spichlerz”,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Chełmno,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„Zakole Dolnej Wisły”,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Gmin Dobrzyńskich Region Południe,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„Gminy Powiatu Świeckiego”,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Sąsiedzi wokół Szlaku Piastowskiego,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„Podgrodzie Toruńskie”,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„Dolina Drwęcy”,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„Pojezierze Brodnickie”,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Stowarzyszenie Lokalna Grupa Działania Miasta Brodnicy,</w:t>
      </w:r>
    </w:p>
    <w:p w:rsidR="00695528" w:rsidRPr="001D0834" w:rsidRDefault="00695528" w:rsidP="0069552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834">
        <w:rPr>
          <w:rFonts w:ascii="Times New Roman" w:hAnsi="Times New Roman" w:cs="Times New Roman"/>
          <w:sz w:val="24"/>
          <w:szCs w:val="24"/>
        </w:rPr>
        <w:t>Lokalna Grupa Działania Miasto Włocławek</w:t>
      </w:r>
    </w:p>
    <w:p w:rsidR="001D0834" w:rsidRDefault="001D0834" w:rsidP="001D083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834">
        <w:rPr>
          <w:rFonts w:ascii="Times New Roman" w:hAnsi="Times New Roman" w:cs="Times New Roman"/>
          <w:bCs/>
          <w:sz w:val="24"/>
          <w:szCs w:val="24"/>
        </w:rPr>
        <w:t xml:space="preserve">Dnia 19 maja 2016 r. w Centrum Kulturalno-Kongresowym Jordanki w Toruniu Stowarzyszenie Lokalna Grupa Działania Czarnoziem na Soli podpisało umowę o warunkach i sposobie realizacji strategii rozwoju lokalnego kierowanego przez społeczność. </w:t>
      </w:r>
      <w:r w:rsidRPr="001D0834">
        <w:rPr>
          <w:rFonts w:ascii="Times New Roman" w:hAnsi="Times New Roman" w:cs="Times New Roman"/>
          <w:bCs/>
          <w:sz w:val="24"/>
          <w:szCs w:val="24"/>
        </w:rPr>
        <w:br/>
        <w:t xml:space="preserve">Umowę w imieniu Stowarzyszenia podpisał Prezes Zarządu - Beata Kowalska, a w imieniu Zarządu Województwa Piotr </w:t>
      </w:r>
      <w:proofErr w:type="spellStart"/>
      <w:r w:rsidRPr="001D0834">
        <w:rPr>
          <w:rFonts w:ascii="Times New Roman" w:hAnsi="Times New Roman" w:cs="Times New Roman"/>
          <w:bCs/>
          <w:sz w:val="24"/>
          <w:szCs w:val="24"/>
        </w:rPr>
        <w:t>Całbecki</w:t>
      </w:r>
      <w:proofErr w:type="spellEnd"/>
      <w:r w:rsidRPr="001D0834">
        <w:rPr>
          <w:rFonts w:ascii="Times New Roman" w:hAnsi="Times New Roman" w:cs="Times New Roman"/>
          <w:bCs/>
          <w:sz w:val="24"/>
          <w:szCs w:val="24"/>
        </w:rPr>
        <w:t xml:space="preserve"> – Marszałek Województwa Kujawsko – Pomorskiego </w:t>
      </w:r>
      <w:r w:rsidRPr="001D0834">
        <w:rPr>
          <w:rFonts w:ascii="Times New Roman" w:hAnsi="Times New Roman" w:cs="Times New Roman"/>
          <w:bCs/>
          <w:sz w:val="24"/>
          <w:szCs w:val="24"/>
        </w:rPr>
        <w:br/>
        <w:t>i Sławomir Kopyść – członek zarządu Województwa Kujawsko –Pomorskiego.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FE7" w:rsidRDefault="001D0834" w:rsidP="008E5FE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834">
        <w:rPr>
          <w:rFonts w:ascii="Times New Roman" w:hAnsi="Times New Roman" w:cs="Times New Roman"/>
          <w:bCs/>
          <w:sz w:val="24"/>
          <w:szCs w:val="24"/>
        </w:rPr>
        <w:t xml:space="preserve">Umowa określa prawa i obowiązki stron w zakresie warunków i sposobu realizacji Lokalnej Strategii Rozwoju (LSR), która przewiduje finansowanie w ramach dwóch programów: Programu Rozwoju Obszarów Wiejskich na lata 2014-2020 (PROW) </w:t>
      </w:r>
      <w:r w:rsidR="00695528">
        <w:rPr>
          <w:rFonts w:ascii="Times New Roman" w:hAnsi="Times New Roman" w:cs="Times New Roman"/>
          <w:bCs/>
          <w:sz w:val="24"/>
          <w:szCs w:val="24"/>
        </w:rPr>
        <w:br/>
      </w:r>
      <w:r w:rsidRPr="001D0834">
        <w:rPr>
          <w:rFonts w:ascii="Times New Roman" w:hAnsi="Times New Roman" w:cs="Times New Roman"/>
          <w:bCs/>
          <w:sz w:val="24"/>
          <w:szCs w:val="24"/>
        </w:rPr>
        <w:t>i Regionalnego Programu Operacyjnego Województwa Kujawsko – Pomorskiego na lata 2014-2020 (RPO).</w:t>
      </w:r>
      <w:r w:rsidR="00695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834">
        <w:rPr>
          <w:rFonts w:ascii="Times New Roman" w:eastAsia="Times New Roman" w:hAnsi="Times New Roman" w:cs="Times New Roman"/>
          <w:sz w:val="24"/>
          <w:szCs w:val="24"/>
          <w:lang w:eastAsia="en-GB"/>
        </w:rPr>
        <w:t>Zawarcie umowy ramowej umożliwi LGD Czarno</w:t>
      </w:r>
      <w:r w:rsidR="0069552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ziem na Soli ogłoszenie naborów </w:t>
      </w:r>
      <w:r w:rsidRPr="001D08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 realizację operacji w ramach LSR. Limit jaki został przyznany na obszar LGD Czarnoziem na Soli to 6 637 500,00 euro. Na tą kwotę składają się środki przeznaczone </w:t>
      </w:r>
      <w:r w:rsidRPr="001D083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na realizację operacji w ramach LSR – 5 825 000,00 euro, wdrażanie projektów współpracy – 50 000,00 euro oraz funkcjonowanie LGD 762 500,00 euro.</w:t>
      </w:r>
      <w:r w:rsidR="00695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0834">
        <w:rPr>
          <w:rFonts w:ascii="Times New Roman" w:hAnsi="Times New Roman" w:cs="Times New Roman"/>
          <w:bCs/>
          <w:sz w:val="24"/>
          <w:szCs w:val="24"/>
        </w:rPr>
        <w:t>Środki</w:t>
      </w:r>
      <w:r w:rsidRPr="001D08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834">
        <w:rPr>
          <w:rFonts w:ascii="Times New Roman" w:hAnsi="Times New Roman" w:cs="Times New Roman"/>
          <w:bCs/>
          <w:sz w:val="24"/>
          <w:szCs w:val="24"/>
        </w:rPr>
        <w:t xml:space="preserve">przeznaczone </w:t>
      </w:r>
      <w:r w:rsidR="00695528">
        <w:rPr>
          <w:rFonts w:ascii="Times New Roman" w:hAnsi="Times New Roman" w:cs="Times New Roman"/>
          <w:bCs/>
          <w:sz w:val="24"/>
          <w:szCs w:val="24"/>
        </w:rPr>
        <w:br/>
      </w:r>
      <w:r w:rsidRPr="001D0834">
        <w:rPr>
          <w:rFonts w:ascii="Times New Roman" w:hAnsi="Times New Roman" w:cs="Times New Roman"/>
          <w:bCs/>
          <w:sz w:val="24"/>
          <w:szCs w:val="24"/>
        </w:rPr>
        <w:t xml:space="preserve">na realizację LSR trafią między innymi na infrastrukturę </w:t>
      </w:r>
      <w:proofErr w:type="spellStart"/>
      <w:r w:rsidRPr="001D0834">
        <w:rPr>
          <w:rFonts w:ascii="Times New Roman" w:hAnsi="Times New Roman" w:cs="Times New Roman"/>
          <w:bCs/>
          <w:sz w:val="24"/>
          <w:szCs w:val="24"/>
        </w:rPr>
        <w:t>turystyczno</w:t>
      </w:r>
      <w:proofErr w:type="spellEnd"/>
      <w:r w:rsidRPr="001D0834">
        <w:rPr>
          <w:rFonts w:ascii="Times New Roman" w:hAnsi="Times New Roman" w:cs="Times New Roman"/>
          <w:bCs/>
          <w:sz w:val="24"/>
          <w:szCs w:val="24"/>
        </w:rPr>
        <w:t>/rekreacyjną, na wsparcie osób podejmujących działalność gospodarczą, rozwój już istniejących firm</w:t>
      </w:r>
      <w:r w:rsidR="00695528">
        <w:rPr>
          <w:rFonts w:ascii="Times New Roman" w:hAnsi="Times New Roman" w:cs="Times New Roman"/>
          <w:bCs/>
          <w:sz w:val="24"/>
          <w:szCs w:val="24"/>
        </w:rPr>
        <w:t xml:space="preserve">, tworzenie </w:t>
      </w:r>
      <w:r w:rsidR="00695528">
        <w:rPr>
          <w:rFonts w:ascii="Times New Roman" w:hAnsi="Times New Roman" w:cs="Times New Roman"/>
          <w:bCs/>
          <w:sz w:val="24"/>
          <w:szCs w:val="24"/>
        </w:rPr>
        <w:lastRenderedPageBreak/>
        <w:t>inkubatorów przetwórstwa lokalnego produktów rolnych</w:t>
      </w:r>
      <w:r w:rsidRPr="001D0834">
        <w:rPr>
          <w:rFonts w:ascii="Times New Roman" w:hAnsi="Times New Roman" w:cs="Times New Roman"/>
          <w:bCs/>
          <w:sz w:val="24"/>
          <w:szCs w:val="24"/>
        </w:rPr>
        <w:t xml:space="preserve">. Wsparciem zostaną objęte również działania z zakresu aktywizacji społecznej i zawodowej mieszkańców, w tym tworzenie klubów samopomocy i świetlic środowiskowych. </w:t>
      </w:r>
      <w:r w:rsidR="00695528">
        <w:rPr>
          <w:rFonts w:ascii="Times New Roman" w:hAnsi="Times New Roman" w:cs="Times New Roman"/>
          <w:bCs/>
          <w:sz w:val="24"/>
          <w:szCs w:val="24"/>
        </w:rPr>
        <w:t>N</w:t>
      </w:r>
      <w:r w:rsidRPr="001D0834">
        <w:rPr>
          <w:rFonts w:ascii="Times New Roman" w:hAnsi="Times New Roman" w:cs="Times New Roman"/>
          <w:bCs/>
          <w:sz w:val="24"/>
          <w:szCs w:val="24"/>
        </w:rPr>
        <w:t xml:space="preserve">ajwięcej środków z Regionalnego Programu Operacyjnego zostało przeznaczone na działania infrastrukturalne przyczyniające się do rewitalizacji </w:t>
      </w:r>
      <w:proofErr w:type="spellStart"/>
      <w:r w:rsidRPr="001D0834">
        <w:rPr>
          <w:rFonts w:ascii="Times New Roman" w:hAnsi="Times New Roman" w:cs="Times New Roman"/>
          <w:bCs/>
          <w:sz w:val="24"/>
          <w:szCs w:val="24"/>
        </w:rPr>
        <w:t>społeczno</w:t>
      </w:r>
      <w:proofErr w:type="spellEnd"/>
      <w:r w:rsidRPr="001D0834">
        <w:rPr>
          <w:rFonts w:ascii="Times New Roman" w:hAnsi="Times New Roman" w:cs="Times New Roman"/>
          <w:bCs/>
          <w:sz w:val="24"/>
          <w:szCs w:val="24"/>
        </w:rPr>
        <w:t xml:space="preserve"> –gospodarczej miejscowości wiejskich.</w:t>
      </w:r>
      <w:r w:rsidR="008E5FE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5FE7" w:rsidRDefault="008E5FE7" w:rsidP="008E5FE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95528" w:rsidRPr="008E5FE7" w:rsidRDefault="00695528" w:rsidP="008E5FE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95528">
        <w:rPr>
          <w:rFonts w:ascii="Times New Roman" w:hAnsi="Times New Roman" w:cs="Times New Roman"/>
          <w:b/>
          <w:bCs/>
          <w:sz w:val="24"/>
          <w:szCs w:val="24"/>
        </w:rPr>
        <w:t>Tabela nr 2. Budżet LSR z poszczególnymi celami, wskazujący dodatkowo odpowiedni fundusz jako źródło finansowania.</w:t>
      </w:r>
    </w:p>
    <w:tbl>
      <w:tblPr>
        <w:tblStyle w:val="TableNormal"/>
        <w:tblW w:w="10352" w:type="dxa"/>
        <w:tblInd w:w="-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5"/>
        <w:gridCol w:w="2413"/>
        <w:gridCol w:w="3402"/>
        <w:gridCol w:w="1418"/>
        <w:gridCol w:w="1424"/>
      </w:tblGrid>
      <w:tr w:rsidR="008E5FE7" w:rsidTr="008E5FE7">
        <w:trPr>
          <w:trHeight w:hRule="exact" w:val="552"/>
        </w:trPr>
        <w:tc>
          <w:tcPr>
            <w:tcW w:w="1695" w:type="dxa"/>
          </w:tcPr>
          <w:p w:rsidR="008E5FE7" w:rsidRDefault="008E5FE7" w:rsidP="007B4B94">
            <w:pPr>
              <w:pStyle w:val="TableParagraph"/>
              <w:spacing w:before="58"/>
              <w:ind w:left="100" w:right="212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ogólny</w:t>
            </w:r>
            <w:proofErr w:type="spellEnd"/>
          </w:p>
        </w:tc>
        <w:tc>
          <w:tcPr>
            <w:tcW w:w="2413" w:type="dxa"/>
          </w:tcPr>
          <w:p w:rsidR="008E5FE7" w:rsidRDefault="008E5FE7" w:rsidP="007B4B94">
            <w:pPr>
              <w:pStyle w:val="TableParagraph"/>
              <w:spacing w:before="58"/>
              <w:ind w:left="103" w:right="19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Cel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szczegółowy</w:t>
            </w:r>
            <w:proofErr w:type="spellEnd"/>
          </w:p>
        </w:tc>
        <w:tc>
          <w:tcPr>
            <w:tcW w:w="3402" w:type="dxa"/>
          </w:tcPr>
          <w:p w:rsidR="008E5FE7" w:rsidRDefault="008E5FE7" w:rsidP="007B4B94">
            <w:pPr>
              <w:pStyle w:val="TableParagraph"/>
              <w:spacing w:before="58"/>
              <w:ind w:left="100" w:right="48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Przedsięwzięcie</w:t>
            </w:r>
            <w:proofErr w:type="spellEnd"/>
          </w:p>
        </w:tc>
        <w:tc>
          <w:tcPr>
            <w:tcW w:w="1418" w:type="dxa"/>
          </w:tcPr>
          <w:p w:rsidR="008E5FE7" w:rsidRDefault="008E5FE7" w:rsidP="007B4B94">
            <w:pPr>
              <w:pStyle w:val="TableParagraph"/>
              <w:spacing w:before="58"/>
              <w:ind w:left="103" w:right="95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Źródło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finansowania</w:t>
            </w:r>
            <w:proofErr w:type="spellEnd"/>
          </w:p>
        </w:tc>
        <w:tc>
          <w:tcPr>
            <w:tcW w:w="1424" w:type="dxa"/>
          </w:tcPr>
          <w:p w:rsidR="008E5FE7" w:rsidRDefault="008E5FE7" w:rsidP="007B4B94">
            <w:pPr>
              <w:pStyle w:val="TableParagraph"/>
              <w:spacing w:before="58"/>
              <w:ind w:left="101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Kwota</w:t>
            </w:r>
            <w:proofErr w:type="spellEnd"/>
            <w:r>
              <w:rPr>
                <w:b/>
                <w:sz w:val="21"/>
              </w:rPr>
              <w:t>:</w:t>
            </w:r>
          </w:p>
        </w:tc>
      </w:tr>
      <w:tr w:rsidR="008E5FE7" w:rsidTr="008E5FE7">
        <w:trPr>
          <w:trHeight w:hRule="exact" w:val="552"/>
        </w:trPr>
        <w:tc>
          <w:tcPr>
            <w:tcW w:w="1695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3"/>
              <w:ind w:left="100" w:right="212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1. Wsparcie rozwoju gospodarczego obszaru LSR do 2023 r.</w:t>
            </w:r>
          </w:p>
        </w:tc>
        <w:tc>
          <w:tcPr>
            <w:tcW w:w="2413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3"/>
              <w:ind w:left="103" w:right="197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1.1 Rozwój przedsiębiorczości na obszarze LSR do 2023 r.</w:t>
            </w:r>
          </w:p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484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1.1.1 Zakładanie nowych firm na obszarze LSR do 2023 r.</w:t>
            </w:r>
          </w:p>
        </w:tc>
        <w:tc>
          <w:tcPr>
            <w:tcW w:w="1418" w:type="dxa"/>
            <w:vMerge w:val="restart"/>
            <w:shd w:val="clear" w:color="auto" w:fill="C5DFB3"/>
          </w:tcPr>
          <w:p w:rsidR="008E5FE7" w:rsidRPr="008E5FE7" w:rsidRDefault="008E5FE7" w:rsidP="007B4B94">
            <w:pPr>
              <w:pStyle w:val="TableParagraph"/>
              <w:rPr>
                <w:sz w:val="20"/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rPr>
                <w:sz w:val="20"/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rPr>
                <w:sz w:val="20"/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spacing w:before="2"/>
              <w:rPr>
                <w:sz w:val="24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78" w:right="95"/>
              <w:rPr>
                <w:sz w:val="21"/>
              </w:rPr>
            </w:pPr>
            <w:r>
              <w:rPr>
                <w:sz w:val="21"/>
              </w:rPr>
              <w:t>EFFROW</w:t>
            </w:r>
          </w:p>
        </w:tc>
        <w:tc>
          <w:tcPr>
            <w:tcW w:w="1424" w:type="dxa"/>
            <w:shd w:val="clear" w:color="auto" w:fill="C5DFB3"/>
          </w:tcPr>
          <w:p w:rsidR="008E5FE7" w:rsidRDefault="008E5FE7" w:rsidP="007B4B94">
            <w:pPr>
              <w:pStyle w:val="TableParagraph"/>
              <w:spacing w:before="178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4 500 000,00</w:t>
            </w:r>
          </w:p>
        </w:tc>
      </w:tr>
      <w:tr w:rsidR="008E5FE7" w:rsidTr="008E5FE7">
        <w:trPr>
          <w:trHeight w:hRule="exact" w:val="795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/>
          </w:tcPr>
          <w:p w:rsidR="008E5FE7" w:rsidRDefault="008E5FE7" w:rsidP="007B4B94"/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426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1.1.2 Rozwijanie działalności gospodarczej na obszarze LSR do 2023 r.</w:t>
            </w:r>
          </w:p>
        </w:tc>
        <w:tc>
          <w:tcPr>
            <w:tcW w:w="1418" w:type="dxa"/>
            <w:vMerge/>
            <w:shd w:val="clear" w:color="auto" w:fill="C5DFB3"/>
          </w:tcPr>
          <w:p w:rsidR="008E5FE7" w:rsidRPr="008E5FE7" w:rsidRDefault="008E5FE7" w:rsidP="007B4B94">
            <w:pPr>
              <w:rPr>
                <w:lang w:val="pl-PL"/>
              </w:rPr>
            </w:pPr>
          </w:p>
        </w:tc>
        <w:tc>
          <w:tcPr>
            <w:tcW w:w="1424" w:type="dxa"/>
            <w:shd w:val="clear" w:color="auto" w:fill="C5DFB3"/>
          </w:tcPr>
          <w:p w:rsidR="008E5FE7" w:rsidRPr="008E5FE7" w:rsidRDefault="008E5FE7" w:rsidP="007B4B94">
            <w:pPr>
              <w:pStyle w:val="TableParagraph"/>
              <w:rPr>
                <w:sz w:val="23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500 000,00</w:t>
            </w:r>
          </w:p>
        </w:tc>
      </w:tr>
      <w:tr w:rsidR="008E5FE7" w:rsidTr="008E5FE7">
        <w:trPr>
          <w:trHeight w:hRule="exact" w:val="794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/>
          </w:tcPr>
          <w:p w:rsidR="008E5FE7" w:rsidRDefault="008E5FE7" w:rsidP="007B4B94"/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245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1.1.3 Tworzenie inkubatorów przetwórstwa lokalnego produktów rolnych na obszarze LSR do 2023 r.</w:t>
            </w:r>
          </w:p>
        </w:tc>
        <w:tc>
          <w:tcPr>
            <w:tcW w:w="1418" w:type="dxa"/>
            <w:vMerge/>
            <w:shd w:val="clear" w:color="auto" w:fill="C5DFB3"/>
          </w:tcPr>
          <w:p w:rsidR="008E5FE7" w:rsidRPr="008E5FE7" w:rsidRDefault="008E5FE7" w:rsidP="007B4B94">
            <w:pPr>
              <w:rPr>
                <w:lang w:val="pl-PL"/>
              </w:rPr>
            </w:pPr>
          </w:p>
        </w:tc>
        <w:tc>
          <w:tcPr>
            <w:tcW w:w="1424" w:type="dxa"/>
            <w:shd w:val="clear" w:color="auto" w:fill="C5DFB3"/>
          </w:tcPr>
          <w:p w:rsidR="008E5FE7" w:rsidRPr="008E5FE7" w:rsidRDefault="008E5FE7" w:rsidP="007B4B94">
            <w:pPr>
              <w:pStyle w:val="TableParagraph"/>
              <w:rPr>
                <w:sz w:val="23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500 000,00</w:t>
            </w:r>
          </w:p>
        </w:tc>
      </w:tr>
      <w:tr w:rsidR="008E5FE7" w:rsidTr="008E5FE7">
        <w:trPr>
          <w:trHeight w:hRule="exact" w:val="1037"/>
        </w:trPr>
        <w:tc>
          <w:tcPr>
            <w:tcW w:w="1695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6"/>
              <w:ind w:left="100" w:right="212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2. Zwiększenie atrakcyjności obszaru LSR do 2023 r.</w:t>
            </w:r>
          </w:p>
        </w:tc>
        <w:tc>
          <w:tcPr>
            <w:tcW w:w="2413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6"/>
              <w:ind w:left="103" w:right="321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2.1 Rozbudowa i poprawa standardu infrastruktury turystycznej i rekreacyjnej oraz rewitalizacja i poprawa estetyki przestrzeni publicznej na obszarze LSR do 2023 r.</w:t>
            </w:r>
          </w:p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6"/>
              <w:ind w:left="100" w:right="496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2.1.1 Budowa lub przebudowa infrastruktury turystycznej i rekreacyjnej na obszarze LSR do 2023 r.</w:t>
            </w:r>
          </w:p>
        </w:tc>
        <w:tc>
          <w:tcPr>
            <w:tcW w:w="1418" w:type="dxa"/>
            <w:shd w:val="clear" w:color="auto" w:fill="C5DFB3"/>
          </w:tcPr>
          <w:p w:rsidR="008E5FE7" w:rsidRPr="008E5FE7" w:rsidRDefault="008E5FE7" w:rsidP="007B4B94">
            <w:pPr>
              <w:pStyle w:val="TableParagraph"/>
              <w:rPr>
                <w:lang w:val="pl-PL"/>
              </w:rPr>
            </w:pPr>
          </w:p>
          <w:p w:rsidR="008E5FE7" w:rsidRDefault="008E5FE7" w:rsidP="007B4B94">
            <w:pPr>
              <w:pStyle w:val="TableParagraph"/>
              <w:spacing w:before="129"/>
              <w:ind w:left="165" w:right="167"/>
              <w:jc w:val="center"/>
            </w:pPr>
            <w:r>
              <w:t>EFFROW</w:t>
            </w:r>
          </w:p>
        </w:tc>
        <w:tc>
          <w:tcPr>
            <w:tcW w:w="1424" w:type="dxa"/>
            <w:shd w:val="clear" w:color="auto" w:fill="C5DFB3"/>
          </w:tcPr>
          <w:p w:rsidR="008E5FE7" w:rsidRDefault="008E5FE7" w:rsidP="007B4B94">
            <w:pPr>
              <w:pStyle w:val="TableParagraph"/>
            </w:pPr>
          </w:p>
          <w:p w:rsidR="008E5FE7" w:rsidRDefault="008E5FE7" w:rsidP="007B4B94">
            <w:pPr>
              <w:pStyle w:val="TableParagraph"/>
              <w:spacing w:before="134"/>
              <w:ind w:left="127"/>
              <w:rPr>
                <w:b/>
              </w:rPr>
            </w:pPr>
            <w:r>
              <w:rPr>
                <w:b/>
              </w:rPr>
              <w:t>3 500 000,00</w:t>
            </w:r>
          </w:p>
        </w:tc>
      </w:tr>
      <w:tr w:rsidR="008E5FE7" w:rsidTr="008E5FE7">
        <w:trPr>
          <w:trHeight w:hRule="exact" w:val="1208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/>
          </w:tcPr>
          <w:p w:rsidR="008E5FE7" w:rsidRDefault="008E5FE7" w:rsidP="007B4B94"/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275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2.1.2 Rewitalizacja wsi na obszarze LSR do 2023 r.</w:t>
            </w:r>
          </w:p>
        </w:tc>
        <w:tc>
          <w:tcPr>
            <w:tcW w:w="1418" w:type="dxa"/>
            <w:shd w:val="clear" w:color="auto" w:fill="BCD5ED"/>
          </w:tcPr>
          <w:p w:rsidR="008E5FE7" w:rsidRPr="008E5FE7" w:rsidRDefault="008E5FE7" w:rsidP="007B4B94">
            <w:pPr>
              <w:pStyle w:val="TableParagraph"/>
              <w:rPr>
                <w:sz w:val="20"/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spacing w:before="7"/>
              <w:rPr>
                <w:sz w:val="23"/>
                <w:lang w:val="pl-PL"/>
              </w:rPr>
            </w:pPr>
          </w:p>
          <w:p w:rsidR="008E5FE7" w:rsidRDefault="008E5FE7" w:rsidP="007B4B94">
            <w:pPr>
              <w:pStyle w:val="TableParagraph"/>
              <w:spacing w:before="1"/>
              <w:ind w:left="165" w:right="165"/>
              <w:jc w:val="center"/>
              <w:rPr>
                <w:sz w:val="21"/>
              </w:rPr>
            </w:pPr>
            <w:r>
              <w:rPr>
                <w:sz w:val="21"/>
              </w:rPr>
              <w:t>EFRR</w:t>
            </w:r>
          </w:p>
        </w:tc>
        <w:tc>
          <w:tcPr>
            <w:tcW w:w="1424" w:type="dxa"/>
            <w:shd w:val="clear" w:color="auto" w:fill="BCD5ED"/>
          </w:tcPr>
          <w:p w:rsidR="008E5FE7" w:rsidRDefault="008E5FE7" w:rsidP="007B4B94">
            <w:pPr>
              <w:pStyle w:val="TableParagraph"/>
              <w:rPr>
                <w:sz w:val="20"/>
              </w:rPr>
            </w:pPr>
          </w:p>
          <w:p w:rsidR="008E5FE7" w:rsidRDefault="008E5FE7" w:rsidP="007B4B94">
            <w:pPr>
              <w:pStyle w:val="TableParagraph"/>
              <w:spacing w:before="1"/>
              <w:rPr>
                <w:sz w:val="24"/>
              </w:rPr>
            </w:pPr>
          </w:p>
          <w:p w:rsidR="008E5FE7" w:rsidRDefault="008E5FE7" w:rsidP="007B4B94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9 500 000,00</w:t>
            </w:r>
          </w:p>
        </w:tc>
      </w:tr>
      <w:tr w:rsidR="008E5FE7" w:rsidTr="008E5FE7">
        <w:trPr>
          <w:trHeight w:hRule="exact" w:val="794"/>
        </w:trPr>
        <w:tc>
          <w:tcPr>
            <w:tcW w:w="1695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3"/>
              <w:ind w:left="100" w:right="130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 Wzmocnienie kapitału społecznego i włączenie społeczne na</w:t>
            </w:r>
          </w:p>
          <w:p w:rsidR="008E5FE7" w:rsidRDefault="008E5FE7" w:rsidP="007B4B94">
            <w:pPr>
              <w:pStyle w:val="TableParagraph"/>
              <w:spacing w:before="58"/>
              <w:ind w:left="100" w:right="130"/>
              <w:rPr>
                <w:sz w:val="21"/>
              </w:rPr>
            </w:pPr>
            <w:proofErr w:type="spellStart"/>
            <w:r>
              <w:rPr>
                <w:sz w:val="21"/>
              </w:rPr>
              <w:t>obszarze</w:t>
            </w:r>
            <w:proofErr w:type="spellEnd"/>
            <w:r>
              <w:rPr>
                <w:sz w:val="21"/>
              </w:rPr>
              <w:t xml:space="preserve"> LSR do 2023 r.</w:t>
            </w:r>
          </w:p>
        </w:tc>
        <w:tc>
          <w:tcPr>
            <w:tcW w:w="2413" w:type="dxa"/>
          </w:tcPr>
          <w:p w:rsidR="008E5FE7" w:rsidRPr="008E5FE7" w:rsidRDefault="008E5FE7" w:rsidP="007B4B94">
            <w:pPr>
              <w:pStyle w:val="TableParagraph"/>
              <w:spacing w:before="53"/>
              <w:ind w:left="103" w:right="198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3.1 Włączenie społeczne mieszkańców obszaru LSR do 2023 r.</w:t>
            </w:r>
          </w:p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473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3.1.1 Aktywizacja społeczno- zawodowa mieszkańców obszaru LSR do 2023 r.</w:t>
            </w:r>
          </w:p>
        </w:tc>
        <w:tc>
          <w:tcPr>
            <w:tcW w:w="1418" w:type="dxa"/>
            <w:shd w:val="clear" w:color="auto" w:fill="FFE499"/>
          </w:tcPr>
          <w:p w:rsidR="008E5FE7" w:rsidRPr="008E5FE7" w:rsidRDefault="008E5FE7" w:rsidP="007B4B94">
            <w:pPr>
              <w:pStyle w:val="TableParagraph"/>
              <w:spacing w:before="8"/>
              <w:rPr>
                <w:sz w:val="25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165" w:right="165"/>
              <w:jc w:val="center"/>
              <w:rPr>
                <w:sz w:val="21"/>
              </w:rPr>
            </w:pPr>
            <w:r>
              <w:rPr>
                <w:sz w:val="21"/>
              </w:rPr>
              <w:t>EFS</w:t>
            </w:r>
          </w:p>
        </w:tc>
        <w:tc>
          <w:tcPr>
            <w:tcW w:w="1424" w:type="dxa"/>
            <w:shd w:val="clear" w:color="auto" w:fill="FFE499"/>
          </w:tcPr>
          <w:p w:rsidR="008E5FE7" w:rsidRDefault="008E5FE7" w:rsidP="007B4B94">
            <w:pPr>
              <w:pStyle w:val="TableParagraph"/>
              <w:spacing w:before="1"/>
              <w:rPr>
                <w:sz w:val="26"/>
              </w:rPr>
            </w:pPr>
          </w:p>
          <w:p w:rsidR="008E5FE7" w:rsidRDefault="008E5FE7" w:rsidP="007B4B94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3 800 000,00</w:t>
            </w:r>
          </w:p>
        </w:tc>
      </w:tr>
      <w:tr w:rsidR="008E5FE7" w:rsidTr="008E5FE7">
        <w:trPr>
          <w:trHeight w:hRule="exact" w:val="794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 w:val="restart"/>
          </w:tcPr>
          <w:p w:rsidR="008E5FE7" w:rsidRPr="008E5FE7" w:rsidRDefault="008E5FE7" w:rsidP="007B4B94">
            <w:pPr>
              <w:pStyle w:val="TableParagraph"/>
              <w:spacing w:before="53"/>
              <w:ind w:left="103" w:right="256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3.2 Aktywizacja i integracja mieszkańców obszaru LSR do 2023 r.</w:t>
            </w:r>
          </w:p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525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3.2.1 Realizacja przedsięwzięć edukacyjnych, kulturalnych oraz integracyjnych do 2023 r.</w:t>
            </w:r>
          </w:p>
        </w:tc>
        <w:tc>
          <w:tcPr>
            <w:tcW w:w="1418" w:type="dxa"/>
            <w:vMerge w:val="restart"/>
            <w:shd w:val="clear" w:color="auto" w:fill="C5DFB3"/>
          </w:tcPr>
          <w:p w:rsidR="008E5FE7" w:rsidRPr="008E5FE7" w:rsidRDefault="008E5FE7" w:rsidP="007B4B94">
            <w:pPr>
              <w:pStyle w:val="TableParagraph"/>
              <w:rPr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rPr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rPr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rPr>
                <w:lang w:val="pl-PL"/>
              </w:rPr>
            </w:pPr>
          </w:p>
          <w:p w:rsidR="008E5FE7" w:rsidRPr="008E5FE7" w:rsidRDefault="008E5FE7" w:rsidP="007B4B94">
            <w:pPr>
              <w:pStyle w:val="TableParagraph"/>
              <w:spacing w:before="9"/>
              <w:rPr>
                <w:sz w:val="19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56" w:right="95"/>
            </w:pPr>
            <w:r>
              <w:t>EFFROW</w:t>
            </w:r>
          </w:p>
        </w:tc>
        <w:tc>
          <w:tcPr>
            <w:tcW w:w="1424" w:type="dxa"/>
            <w:shd w:val="clear" w:color="auto" w:fill="C5DFB3"/>
          </w:tcPr>
          <w:p w:rsidR="008E5FE7" w:rsidRDefault="008E5FE7" w:rsidP="007B4B94">
            <w:pPr>
              <w:pStyle w:val="TableParagraph"/>
              <w:spacing w:before="6"/>
              <w:rPr>
                <w:sz w:val="25"/>
              </w:rPr>
            </w:pPr>
          </w:p>
          <w:p w:rsidR="008E5FE7" w:rsidRDefault="008E5FE7" w:rsidP="007B4B94">
            <w:pPr>
              <w:pStyle w:val="TableParagraph"/>
              <w:ind w:left="209"/>
              <w:rPr>
                <w:b/>
              </w:rPr>
            </w:pPr>
            <w:r>
              <w:rPr>
                <w:b/>
              </w:rPr>
              <w:t>600 000,00</w:t>
            </w:r>
          </w:p>
        </w:tc>
      </w:tr>
      <w:tr w:rsidR="008E5FE7" w:rsidTr="008E5FE7">
        <w:trPr>
          <w:trHeight w:hRule="exact" w:val="553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/>
          </w:tcPr>
          <w:p w:rsidR="008E5FE7" w:rsidRDefault="008E5FE7" w:rsidP="007B4B94"/>
        </w:tc>
        <w:tc>
          <w:tcPr>
            <w:tcW w:w="3402" w:type="dxa"/>
          </w:tcPr>
          <w:p w:rsidR="008E5FE7" w:rsidRDefault="008E5FE7" w:rsidP="007B4B94">
            <w:pPr>
              <w:pStyle w:val="TableParagraph"/>
              <w:spacing w:before="53"/>
              <w:ind w:left="100" w:right="180"/>
              <w:rPr>
                <w:sz w:val="21"/>
              </w:rPr>
            </w:pPr>
            <w:r>
              <w:rPr>
                <w:sz w:val="21"/>
              </w:rPr>
              <w:t xml:space="preserve">3.2.2 </w:t>
            </w:r>
            <w:proofErr w:type="spellStart"/>
            <w:r>
              <w:rPr>
                <w:sz w:val="21"/>
              </w:rPr>
              <w:t>Funkcjonowanie</w:t>
            </w:r>
            <w:proofErr w:type="spellEnd"/>
            <w:r>
              <w:rPr>
                <w:sz w:val="21"/>
              </w:rPr>
              <w:t xml:space="preserve"> LGD do 2023 r.</w:t>
            </w:r>
          </w:p>
        </w:tc>
        <w:tc>
          <w:tcPr>
            <w:tcW w:w="1418" w:type="dxa"/>
            <w:vMerge/>
            <w:shd w:val="clear" w:color="auto" w:fill="C5DFB3"/>
          </w:tcPr>
          <w:p w:rsidR="008E5FE7" w:rsidRDefault="008E5FE7" w:rsidP="007B4B94"/>
        </w:tc>
        <w:tc>
          <w:tcPr>
            <w:tcW w:w="1424" w:type="dxa"/>
            <w:shd w:val="clear" w:color="auto" w:fill="C5DFB3"/>
          </w:tcPr>
          <w:p w:rsidR="008E5FE7" w:rsidRDefault="008E5FE7" w:rsidP="007B4B94">
            <w:pPr>
              <w:pStyle w:val="TableParagraph"/>
              <w:spacing w:before="8"/>
              <w:rPr>
                <w:sz w:val="15"/>
              </w:rPr>
            </w:pPr>
          </w:p>
          <w:p w:rsidR="008E5FE7" w:rsidRDefault="008E5FE7" w:rsidP="007B4B94">
            <w:pPr>
              <w:pStyle w:val="TableParagraph"/>
              <w:ind w:left="153"/>
              <w:rPr>
                <w:b/>
                <w:sz w:val="21"/>
              </w:rPr>
            </w:pPr>
            <w:r>
              <w:rPr>
                <w:b/>
                <w:sz w:val="21"/>
              </w:rPr>
              <w:t>3 050 000,00</w:t>
            </w:r>
          </w:p>
        </w:tc>
      </w:tr>
      <w:tr w:rsidR="008E5FE7" w:rsidTr="008E5FE7">
        <w:trPr>
          <w:trHeight w:hRule="exact" w:val="554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  <w:vMerge/>
          </w:tcPr>
          <w:p w:rsidR="008E5FE7" w:rsidRDefault="008E5FE7" w:rsidP="007B4B94"/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5"/>
              <w:ind w:left="100" w:right="1021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3.2.3 Realizacja projektów współpracy do 2023 r.</w:t>
            </w:r>
          </w:p>
        </w:tc>
        <w:tc>
          <w:tcPr>
            <w:tcW w:w="1418" w:type="dxa"/>
            <w:vMerge/>
            <w:shd w:val="clear" w:color="auto" w:fill="C5DFB3"/>
          </w:tcPr>
          <w:p w:rsidR="008E5FE7" w:rsidRPr="008E5FE7" w:rsidRDefault="008E5FE7" w:rsidP="007B4B94">
            <w:pPr>
              <w:rPr>
                <w:lang w:val="pl-PL"/>
              </w:rPr>
            </w:pPr>
          </w:p>
        </w:tc>
        <w:tc>
          <w:tcPr>
            <w:tcW w:w="1424" w:type="dxa"/>
            <w:shd w:val="clear" w:color="auto" w:fill="C5DFB3"/>
          </w:tcPr>
          <w:p w:rsidR="008E5FE7" w:rsidRPr="008E5FE7" w:rsidRDefault="008E5FE7" w:rsidP="007B4B94">
            <w:pPr>
              <w:pStyle w:val="TableParagraph"/>
              <w:spacing w:before="7"/>
              <w:rPr>
                <w:sz w:val="15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30"/>
              <w:rPr>
                <w:b/>
                <w:sz w:val="21"/>
              </w:rPr>
            </w:pPr>
            <w:r>
              <w:rPr>
                <w:b/>
                <w:sz w:val="21"/>
              </w:rPr>
              <w:t>200 000,00</w:t>
            </w:r>
          </w:p>
        </w:tc>
      </w:tr>
      <w:tr w:rsidR="008E5FE7" w:rsidTr="008E5FE7">
        <w:trPr>
          <w:trHeight w:hRule="exact" w:val="795"/>
        </w:trPr>
        <w:tc>
          <w:tcPr>
            <w:tcW w:w="1695" w:type="dxa"/>
            <w:vMerge/>
          </w:tcPr>
          <w:p w:rsidR="008E5FE7" w:rsidRDefault="008E5FE7" w:rsidP="007B4B94"/>
        </w:tc>
        <w:tc>
          <w:tcPr>
            <w:tcW w:w="2413" w:type="dxa"/>
          </w:tcPr>
          <w:p w:rsidR="008E5FE7" w:rsidRPr="008E5FE7" w:rsidRDefault="008E5FE7" w:rsidP="007B4B94">
            <w:pPr>
              <w:pStyle w:val="TableParagraph"/>
              <w:spacing w:before="53"/>
              <w:ind w:left="103" w:right="328"/>
              <w:jc w:val="both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3.3 Promocja zasobów lokalnych obszaru LSR do 2023 r.</w:t>
            </w:r>
          </w:p>
        </w:tc>
        <w:tc>
          <w:tcPr>
            <w:tcW w:w="3402" w:type="dxa"/>
          </w:tcPr>
          <w:p w:rsidR="008E5FE7" w:rsidRPr="008E5FE7" w:rsidRDefault="008E5FE7" w:rsidP="007B4B94">
            <w:pPr>
              <w:pStyle w:val="TableParagraph"/>
              <w:spacing w:before="53"/>
              <w:ind w:left="100" w:right="374"/>
              <w:rPr>
                <w:sz w:val="21"/>
                <w:lang w:val="pl-PL"/>
              </w:rPr>
            </w:pPr>
            <w:r w:rsidRPr="008E5FE7">
              <w:rPr>
                <w:sz w:val="21"/>
                <w:lang w:val="pl-PL"/>
              </w:rPr>
              <w:t>3.3.1 Opracowanie publikacji oraz materiałów informacyjno- promocyjnych do 2023 r.</w:t>
            </w:r>
          </w:p>
        </w:tc>
        <w:tc>
          <w:tcPr>
            <w:tcW w:w="1418" w:type="dxa"/>
            <w:vMerge/>
            <w:shd w:val="clear" w:color="auto" w:fill="C5DFB3"/>
          </w:tcPr>
          <w:p w:rsidR="008E5FE7" w:rsidRPr="008E5FE7" w:rsidRDefault="008E5FE7" w:rsidP="007B4B94">
            <w:pPr>
              <w:rPr>
                <w:lang w:val="pl-PL"/>
              </w:rPr>
            </w:pPr>
          </w:p>
        </w:tc>
        <w:tc>
          <w:tcPr>
            <w:tcW w:w="1424" w:type="dxa"/>
            <w:shd w:val="clear" w:color="auto" w:fill="C5DFB3"/>
          </w:tcPr>
          <w:p w:rsidR="008E5FE7" w:rsidRPr="008E5FE7" w:rsidRDefault="008E5FE7" w:rsidP="007B4B94">
            <w:pPr>
              <w:pStyle w:val="TableParagraph"/>
              <w:spacing w:before="2"/>
              <w:rPr>
                <w:sz w:val="26"/>
                <w:lang w:val="pl-PL"/>
              </w:rPr>
            </w:pPr>
          </w:p>
          <w:p w:rsidR="008E5FE7" w:rsidRDefault="008E5FE7" w:rsidP="007B4B94">
            <w:pPr>
              <w:pStyle w:val="TableParagraph"/>
              <w:ind w:left="230"/>
              <w:rPr>
                <w:b/>
                <w:sz w:val="21"/>
              </w:rPr>
            </w:pPr>
            <w:r>
              <w:rPr>
                <w:b/>
                <w:sz w:val="21"/>
              </w:rPr>
              <w:t>400 000,00</w:t>
            </w:r>
          </w:p>
        </w:tc>
      </w:tr>
      <w:tr w:rsidR="008E5FE7" w:rsidTr="008E5FE7">
        <w:trPr>
          <w:trHeight w:hRule="exact" w:val="312"/>
        </w:trPr>
        <w:tc>
          <w:tcPr>
            <w:tcW w:w="8928" w:type="dxa"/>
            <w:gridSpan w:val="4"/>
          </w:tcPr>
          <w:p w:rsidR="008E5FE7" w:rsidRDefault="008E5FE7" w:rsidP="007B4B94">
            <w:pPr>
              <w:pStyle w:val="TableParagraph"/>
              <w:spacing w:before="58"/>
              <w:ind w:right="10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SUMA:</w:t>
            </w:r>
          </w:p>
        </w:tc>
        <w:tc>
          <w:tcPr>
            <w:tcW w:w="1424" w:type="dxa"/>
          </w:tcPr>
          <w:p w:rsidR="008E5FE7" w:rsidRDefault="008E5FE7" w:rsidP="007B4B94">
            <w:pPr>
              <w:pStyle w:val="TableParagraph"/>
              <w:spacing w:before="58"/>
              <w:ind w:left="101"/>
              <w:rPr>
                <w:b/>
                <w:sz w:val="21"/>
              </w:rPr>
            </w:pPr>
            <w:r>
              <w:rPr>
                <w:b/>
                <w:sz w:val="21"/>
              </w:rPr>
              <w:t>26 550 000,00</w:t>
            </w:r>
          </w:p>
        </w:tc>
      </w:tr>
    </w:tbl>
    <w:p w:rsidR="006313F2" w:rsidRPr="006313F2" w:rsidRDefault="006313F2" w:rsidP="006313F2">
      <w:pPr>
        <w:spacing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6313F2">
        <w:rPr>
          <w:rFonts w:ascii="Times New Roman" w:hAnsi="Times New Roman" w:cs="Times New Roman"/>
          <w:b/>
          <w:i/>
          <w:sz w:val="18"/>
          <w:szCs w:val="18"/>
        </w:rPr>
        <w:t xml:space="preserve">Opracowano na podstawie Lokalnej Strategii Rozwoju na lata </w:t>
      </w:r>
      <w:r>
        <w:rPr>
          <w:rFonts w:ascii="Times New Roman" w:hAnsi="Times New Roman" w:cs="Times New Roman"/>
          <w:b/>
          <w:i/>
          <w:sz w:val="18"/>
          <w:szCs w:val="18"/>
        </w:rPr>
        <w:t>2014-2020</w:t>
      </w:r>
      <w:r w:rsidRPr="006313F2">
        <w:rPr>
          <w:rFonts w:ascii="Times New Roman" w:hAnsi="Times New Roman" w:cs="Times New Roman"/>
          <w:b/>
          <w:i/>
          <w:sz w:val="18"/>
          <w:szCs w:val="18"/>
        </w:rPr>
        <w:t xml:space="preserve"> Stowarzyszenia Lokalna Grupa Działania Czarnoziem na Soli.</w:t>
      </w:r>
    </w:p>
    <w:p w:rsidR="00695528" w:rsidRPr="00695528" w:rsidRDefault="00695528" w:rsidP="0069552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834" w:rsidRPr="001D0834" w:rsidRDefault="001D0834" w:rsidP="001D08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D0834" w:rsidRPr="001D0834" w:rsidSect="00112C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FC" w:rsidRDefault="00026CFC" w:rsidP="00BC0043">
      <w:pPr>
        <w:spacing w:after="0" w:line="240" w:lineRule="auto"/>
      </w:pPr>
      <w:r>
        <w:separator/>
      </w:r>
    </w:p>
  </w:endnote>
  <w:endnote w:type="continuationSeparator" w:id="0">
    <w:p w:rsidR="00026CFC" w:rsidRDefault="00026CFC" w:rsidP="00BC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94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043" w:rsidRDefault="00BC00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AD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0043" w:rsidRDefault="00BC0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FC" w:rsidRDefault="00026CFC" w:rsidP="00BC0043">
      <w:pPr>
        <w:spacing w:after="0" w:line="240" w:lineRule="auto"/>
      </w:pPr>
      <w:r>
        <w:separator/>
      </w:r>
    </w:p>
  </w:footnote>
  <w:footnote w:type="continuationSeparator" w:id="0">
    <w:p w:rsidR="00026CFC" w:rsidRDefault="00026CFC" w:rsidP="00BC0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DF4"/>
    <w:multiLevelType w:val="hybridMultilevel"/>
    <w:tmpl w:val="FD92509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16"/>
    <w:rsid w:val="00026CFC"/>
    <w:rsid w:val="00074E5B"/>
    <w:rsid w:val="00112CE2"/>
    <w:rsid w:val="001D0834"/>
    <w:rsid w:val="00252275"/>
    <w:rsid w:val="00286CEB"/>
    <w:rsid w:val="00297800"/>
    <w:rsid w:val="002A7116"/>
    <w:rsid w:val="002B70DC"/>
    <w:rsid w:val="004D10AF"/>
    <w:rsid w:val="004F6CC8"/>
    <w:rsid w:val="006313F2"/>
    <w:rsid w:val="0066028F"/>
    <w:rsid w:val="00687867"/>
    <w:rsid w:val="00695528"/>
    <w:rsid w:val="006B4581"/>
    <w:rsid w:val="006C3CFE"/>
    <w:rsid w:val="00832878"/>
    <w:rsid w:val="008E5FE7"/>
    <w:rsid w:val="00900750"/>
    <w:rsid w:val="00946AD3"/>
    <w:rsid w:val="00983113"/>
    <w:rsid w:val="00A26E17"/>
    <w:rsid w:val="00AB2848"/>
    <w:rsid w:val="00B26E2D"/>
    <w:rsid w:val="00B8714F"/>
    <w:rsid w:val="00BC0043"/>
    <w:rsid w:val="00C74051"/>
    <w:rsid w:val="00CA5DB1"/>
    <w:rsid w:val="00E11705"/>
    <w:rsid w:val="00F144D8"/>
    <w:rsid w:val="00F30EC5"/>
    <w:rsid w:val="00F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043"/>
  </w:style>
  <w:style w:type="paragraph" w:styleId="Stopka">
    <w:name w:val="footer"/>
    <w:basedOn w:val="Normalny"/>
    <w:link w:val="StopkaZnak"/>
    <w:uiPriority w:val="99"/>
    <w:unhideWhenUsed/>
    <w:rsid w:val="00B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043"/>
  </w:style>
  <w:style w:type="paragraph" w:styleId="Akapitzlist">
    <w:name w:val="List Paragraph"/>
    <w:basedOn w:val="Normalny"/>
    <w:uiPriority w:val="34"/>
    <w:qFormat/>
    <w:rsid w:val="001D08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5FE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E5FE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4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043"/>
  </w:style>
  <w:style w:type="paragraph" w:styleId="Stopka">
    <w:name w:val="footer"/>
    <w:basedOn w:val="Normalny"/>
    <w:link w:val="StopkaZnak"/>
    <w:uiPriority w:val="99"/>
    <w:unhideWhenUsed/>
    <w:rsid w:val="00BC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043"/>
  </w:style>
  <w:style w:type="paragraph" w:styleId="Akapitzlist">
    <w:name w:val="List Paragraph"/>
    <w:basedOn w:val="Normalny"/>
    <w:uiPriority w:val="34"/>
    <w:qFormat/>
    <w:rsid w:val="001D083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E5FE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E5FE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8C1A-EAD6-49C9-AE76-688F27A3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3</cp:lastModifiedBy>
  <cp:revision>10</cp:revision>
  <cp:lastPrinted>2016-07-15T06:12:00Z</cp:lastPrinted>
  <dcterms:created xsi:type="dcterms:W3CDTF">2016-07-19T09:28:00Z</dcterms:created>
  <dcterms:modified xsi:type="dcterms:W3CDTF">2016-07-19T09:50:00Z</dcterms:modified>
</cp:coreProperties>
</file>