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F3" w:rsidRPr="00F040BC" w:rsidRDefault="004E48F3" w:rsidP="004E48F3">
      <w:pPr>
        <w:jc w:val="center"/>
        <w:rPr>
          <w:b/>
          <w:color w:val="002060"/>
          <w:sz w:val="32"/>
          <w:szCs w:val="32"/>
        </w:rPr>
      </w:pPr>
      <w:r w:rsidRPr="00F040BC">
        <w:rPr>
          <w:b/>
          <w:color w:val="002060"/>
          <w:sz w:val="32"/>
          <w:szCs w:val="32"/>
        </w:rPr>
        <w:t>Realizacja Strategii Rozwoju Lokalnego Kierowanego przez Społeczność w okresie 2016-2023</w:t>
      </w:r>
    </w:p>
    <w:p w:rsidR="00964355" w:rsidRDefault="00964355" w:rsidP="00DE7D35">
      <w:pPr>
        <w:ind w:right="552"/>
        <w:rPr>
          <w:b/>
          <w:sz w:val="24"/>
          <w:szCs w:val="24"/>
        </w:rPr>
      </w:pPr>
    </w:p>
    <w:p w:rsidR="00DE7D35" w:rsidRPr="00901652" w:rsidRDefault="00DE7D35" w:rsidP="00DE7D35">
      <w:pPr>
        <w:ind w:right="552"/>
        <w:rPr>
          <w:sz w:val="24"/>
          <w:szCs w:val="24"/>
          <w:u w:val="single"/>
        </w:rPr>
      </w:pPr>
      <w:r w:rsidRPr="00901652">
        <w:rPr>
          <w:b/>
          <w:sz w:val="24"/>
          <w:szCs w:val="24"/>
        </w:rPr>
        <w:t xml:space="preserve">Przedsięwzięcie 1.1.2. </w:t>
      </w:r>
      <w:r w:rsidRPr="00901652">
        <w:rPr>
          <w:b/>
          <w:sz w:val="24"/>
          <w:szCs w:val="24"/>
          <w:u w:val="single"/>
        </w:rPr>
        <w:t>Rozwijanie działalności gospodarczej na obszarze LSR do 2023 r.</w:t>
      </w:r>
    </w:p>
    <w:p w:rsidR="00DE7D35" w:rsidRPr="00901652" w:rsidRDefault="00DE7D35" w:rsidP="00DE7D35">
      <w:pPr>
        <w:ind w:right="411"/>
        <w:jc w:val="both"/>
        <w:rPr>
          <w:b/>
          <w:sz w:val="24"/>
          <w:szCs w:val="24"/>
        </w:rPr>
      </w:pPr>
    </w:p>
    <w:p w:rsidR="00646705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Typ Beneficjenta</w:t>
      </w:r>
      <w:r w:rsidR="00966226">
        <w:rPr>
          <w:rFonts w:ascii="Times New Roman" w:hAnsi="Times New Roman" w:cs="Times New Roman"/>
          <w:sz w:val="24"/>
          <w:szCs w:val="24"/>
        </w:rPr>
        <w:t xml:space="preserve">: </w:t>
      </w:r>
      <w:r w:rsidRPr="00E5204B">
        <w:rPr>
          <w:rFonts w:ascii="Times New Roman" w:hAnsi="Times New Roman" w:cs="Times New Roman"/>
          <w:sz w:val="24"/>
          <w:szCs w:val="24"/>
        </w:rPr>
        <w:t xml:space="preserve"> </w:t>
      </w:r>
      <w:r w:rsidR="00D8635C">
        <w:rPr>
          <w:rFonts w:ascii="Times New Roman" w:hAnsi="Times New Roman" w:cs="Times New Roman"/>
          <w:sz w:val="24"/>
          <w:szCs w:val="24"/>
        </w:rPr>
        <w:t>osoba fizyczna,</w:t>
      </w:r>
      <w:r w:rsidR="00966226" w:rsidRPr="006C2D1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66226">
        <w:rPr>
          <w:rFonts w:ascii="Times New Roman" w:hAnsi="Times New Roman" w:cs="Times New Roman"/>
          <w:sz w:val="24"/>
          <w:szCs w:val="24"/>
        </w:rPr>
        <w:t>która jest obywatelem państwa c</w:t>
      </w:r>
      <w:r w:rsidR="006C2D11">
        <w:rPr>
          <w:rFonts w:ascii="Times New Roman" w:hAnsi="Times New Roman" w:cs="Times New Roman"/>
          <w:sz w:val="24"/>
          <w:szCs w:val="24"/>
        </w:rPr>
        <w:t>złonkowskiego Unii Europejskiej, jest pełnoletnia</w:t>
      </w:r>
      <w:r w:rsidR="00966226">
        <w:rPr>
          <w:rFonts w:ascii="Times New Roman" w:hAnsi="Times New Roman" w:cs="Times New Roman"/>
          <w:sz w:val="24"/>
          <w:szCs w:val="24"/>
        </w:rPr>
        <w:t xml:space="preserve">, </w:t>
      </w:r>
      <w:r w:rsidR="00A74055">
        <w:rPr>
          <w:rFonts w:ascii="Times New Roman" w:hAnsi="Times New Roman" w:cs="Times New Roman"/>
          <w:sz w:val="24"/>
          <w:szCs w:val="24"/>
        </w:rPr>
        <w:t>prowadzącą działalność gospodarczą na obszarze LSR.</w:t>
      </w:r>
    </w:p>
    <w:p w:rsidR="00A51991" w:rsidRDefault="00DE7D35" w:rsidP="00E5204B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Osoba prawna, z wyłączeniem województwa, jeżeli siedziba tej osoby lub jej oddział znajduje się n</w:t>
      </w:r>
      <w:r w:rsidR="00C46BFE">
        <w:rPr>
          <w:rFonts w:ascii="Times New Roman" w:eastAsia="Times New Roman" w:hAnsi="Times New Roman" w:cs="Times New Roman"/>
          <w:sz w:val="24"/>
          <w:szCs w:val="24"/>
        </w:rPr>
        <w:t xml:space="preserve">a obszarze wiejskim objętym LSR. </w:t>
      </w:r>
    </w:p>
    <w:p w:rsidR="00DE7D35" w:rsidRDefault="00DE7D35" w:rsidP="00E5204B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Jednostka organizacyjna nieposiadającą osobowości prawnej</w:t>
      </w:r>
      <w:r w:rsidR="00A51991">
        <w:rPr>
          <w:rFonts w:ascii="Times New Roman" w:eastAsia="Times New Roman" w:hAnsi="Times New Roman" w:cs="Times New Roman"/>
          <w:sz w:val="24"/>
          <w:szCs w:val="24"/>
        </w:rPr>
        <w:t>, której ustawa przyznaje zdolność prawną ,jeżeli siedziba tej jednostki lub jej oddział znajduje się na obszarze wiejskim objętym LSR.</w:t>
      </w:r>
    </w:p>
    <w:p w:rsidR="005A03D8" w:rsidRPr="00B73296" w:rsidRDefault="00A51991" w:rsidP="00E5204B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296">
        <w:rPr>
          <w:rFonts w:ascii="Times New Roman" w:eastAsia="Times New Roman" w:hAnsi="Times New Roman" w:cs="Times New Roman"/>
          <w:b/>
          <w:sz w:val="24"/>
          <w:szCs w:val="24"/>
        </w:rPr>
        <w:t>Pomoc jest przyznawana ,jeżeli</w:t>
      </w:r>
      <w:r w:rsidR="005A03D8" w:rsidRPr="00B732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03D8" w:rsidRDefault="005A03D8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Podmiotowi został przyznany numer identyfikacyjny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>Operacja będzie realizowana nie więcej niż w 2 etapach, a wykonanie zakresu rzeczowego zgodnie z zestawienie</w:t>
      </w:r>
      <w:r w:rsidR="00A74055" w:rsidRPr="00A74055">
        <w:rPr>
          <w:rFonts w:ascii="Times New Roman" w:hAnsi="Times New Roman" w:cs="Times New Roman"/>
          <w:sz w:val="24"/>
          <w:szCs w:val="24"/>
        </w:rPr>
        <w:t xml:space="preserve">m rzeczowo-finansowym operacji , złożenie wniosku </w:t>
      </w:r>
      <w:r w:rsidR="005A03D8">
        <w:rPr>
          <w:rFonts w:ascii="Times New Roman" w:hAnsi="Times New Roman" w:cs="Times New Roman"/>
          <w:sz w:val="24"/>
          <w:szCs w:val="24"/>
        </w:rPr>
        <w:t xml:space="preserve">o płatność końcową po zrealizowaniu całej operacji w terminie 2 lat od zawarcia umowy , nie później niż </w:t>
      </w:r>
      <w:r w:rsidR="00A74055" w:rsidRPr="00A74055">
        <w:rPr>
          <w:rFonts w:ascii="Times New Roman" w:hAnsi="Times New Roman" w:cs="Times New Roman"/>
          <w:sz w:val="24"/>
          <w:szCs w:val="24"/>
        </w:rPr>
        <w:t>do 31 grudnia 2022.</w:t>
      </w:r>
    </w:p>
    <w:p w:rsidR="005A03D8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Operacja, która obejmuje koszty inwestycyjne zakłada realizację inwestycji na obszarze wiejskim objętym LSR.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Inwestycje w ramach operacji będą realizowane na nieruchomości będącej własnością lub współwłasnością podmiotu ubiegającego się o przyznanie pomocy lub podmiot ten posiada prawo do dysponowania nieruchomością.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>Operacja musi być uzasadniona ekonomicznie i będzie zrealizowana zgodnie z biznesplanem.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Podmiot wykaże się, że posiada doświadczenie w realizacji projektów o charakterze podobnym do operacji, którą zamierza realizować lub posiada zasoby odpowiednie do przedmiotu operacji, którą zamierza realizować lub posiada kwalifikacje odpowiednie do przedmiotu operacji.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Realizacja operacji nie jest możliwa bez udziału środków publicznych. </w:t>
      </w:r>
    </w:p>
    <w:p w:rsidR="0098692B" w:rsidRPr="00A74055" w:rsidRDefault="0098692B" w:rsidP="00A74055">
      <w:pPr>
        <w:pStyle w:val="Akapitzlist"/>
        <w:numPr>
          <w:ilvl w:val="0"/>
          <w:numId w:val="15"/>
        </w:num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55">
        <w:rPr>
          <w:rFonts w:ascii="Times New Roman" w:hAnsi="Times New Roman" w:cs="Times New Roman"/>
          <w:sz w:val="24"/>
          <w:szCs w:val="24"/>
        </w:rPr>
        <w:t xml:space="preserve">Została wydana ostateczna decyzja o środowiskowych uwarunkowaniach – </w:t>
      </w:r>
      <w:r w:rsidRPr="00A74055">
        <w:rPr>
          <w:rFonts w:ascii="Times New Roman" w:hAnsi="Times New Roman" w:cs="Times New Roman"/>
          <w:b/>
          <w:sz w:val="24"/>
          <w:szCs w:val="24"/>
        </w:rPr>
        <w:t>Rozporządzenie Rady Ministrów z dnia 9 listopada 2010 r. w sprawie przedsięwzięć mogących znacząco oddziaływać na środowisko (Dz.U. z dnia 12 listopada 2010 r.)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Minimalna wartość projektu: </w:t>
      </w:r>
      <w:r w:rsidRPr="00E5204B">
        <w:rPr>
          <w:rFonts w:ascii="Times New Roman" w:hAnsi="Times New Roman" w:cs="Times New Roman"/>
          <w:sz w:val="24"/>
          <w:szCs w:val="24"/>
        </w:rPr>
        <w:t>50 000,00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E5204B">
        <w:rPr>
          <w:rFonts w:ascii="Times New Roman" w:hAnsi="Times New Roman" w:cs="Times New Roman"/>
          <w:sz w:val="24"/>
          <w:szCs w:val="24"/>
        </w:rPr>
        <w:t>300 000,00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E5204B">
        <w:rPr>
          <w:rFonts w:ascii="Times New Roman" w:hAnsi="Times New Roman" w:cs="Times New Roman"/>
          <w:sz w:val="24"/>
          <w:szCs w:val="24"/>
        </w:rPr>
        <w:t xml:space="preserve"> 70% kosztów kwalifikowalnych</w:t>
      </w:r>
    </w:p>
    <w:p w:rsidR="0098692B" w:rsidRDefault="00B12B9B" w:rsidP="00E5204B">
      <w:pPr>
        <w:spacing w:line="360" w:lineRule="auto"/>
        <w:ind w:right="41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Warunki pomocy</w:t>
      </w:r>
      <w:r w:rsidRPr="008B30E9">
        <w:rPr>
          <w:rFonts w:ascii="Times New Roman" w:hAnsi="Times New Roman" w:cs="Times New Roman"/>
          <w:b/>
          <w:sz w:val="24"/>
          <w:szCs w:val="24"/>
        </w:rPr>
        <w:t>:</w:t>
      </w:r>
      <w:r w:rsidR="00966226" w:rsidRPr="003937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8692B" w:rsidRPr="00EA2B64" w:rsidRDefault="00EA2B64" w:rsidP="00A74055">
      <w:pPr>
        <w:spacing w:line="360" w:lineRule="auto"/>
        <w:ind w:left="360"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692B" w:rsidRPr="00EA2B64">
        <w:rPr>
          <w:rFonts w:ascii="Times New Roman" w:hAnsi="Times New Roman" w:cs="Times New Roman"/>
          <w:sz w:val="24"/>
          <w:szCs w:val="24"/>
        </w:rPr>
        <w:t xml:space="preserve">Utworzenie co najmniej jednego miejsca pracy w przeliczeniu na pełne etaty średnioroczne i jest to uzasadnione zakresem realizacji operacji, osoba zatrudniona zostanie na podstawie umowy o pracę lub spółdzielczej umowy o </w:t>
      </w:r>
      <w:r w:rsidR="005A03D8">
        <w:rPr>
          <w:rFonts w:ascii="Times New Roman" w:hAnsi="Times New Roman" w:cs="Times New Roman"/>
          <w:sz w:val="24"/>
          <w:szCs w:val="24"/>
        </w:rPr>
        <w:t>pracę, utrzymanie miejsca pracy, w tym miejsc pracy</w:t>
      </w:r>
      <w:r w:rsidR="0098692B" w:rsidRPr="00EA2B64">
        <w:rPr>
          <w:rFonts w:ascii="Times New Roman" w:hAnsi="Times New Roman" w:cs="Times New Roman"/>
          <w:sz w:val="24"/>
          <w:szCs w:val="24"/>
        </w:rPr>
        <w:t>,</w:t>
      </w:r>
      <w:r w:rsidR="005A03D8">
        <w:rPr>
          <w:rFonts w:ascii="Times New Roman" w:hAnsi="Times New Roman" w:cs="Times New Roman"/>
          <w:sz w:val="24"/>
          <w:szCs w:val="24"/>
        </w:rPr>
        <w:t xml:space="preserve"> </w:t>
      </w:r>
      <w:r w:rsidR="0098692B" w:rsidRPr="00EA2B64">
        <w:rPr>
          <w:rFonts w:ascii="Times New Roman" w:hAnsi="Times New Roman" w:cs="Times New Roman"/>
          <w:sz w:val="24"/>
          <w:szCs w:val="24"/>
        </w:rPr>
        <w:t xml:space="preserve"> które zostaną utworzone </w:t>
      </w:r>
      <w:r w:rsidR="00B73296">
        <w:rPr>
          <w:rFonts w:ascii="Times New Roman" w:hAnsi="Times New Roman" w:cs="Times New Roman"/>
          <w:sz w:val="24"/>
          <w:szCs w:val="24"/>
        </w:rPr>
        <w:t xml:space="preserve">w ramach realizacji operacji do </w:t>
      </w:r>
      <w:r w:rsidR="0098692B" w:rsidRPr="00EA2B64">
        <w:rPr>
          <w:rFonts w:ascii="Times New Roman" w:hAnsi="Times New Roman" w:cs="Times New Roman"/>
          <w:sz w:val="24"/>
          <w:szCs w:val="24"/>
        </w:rPr>
        <w:t>dnia , w którym upłynie 3 lata od dnia wypłaty płatności końcowej.</w:t>
      </w:r>
    </w:p>
    <w:p w:rsidR="0098692B" w:rsidRPr="0098692B" w:rsidRDefault="00A74055" w:rsidP="00A740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2B64">
        <w:rPr>
          <w:rFonts w:ascii="Times New Roman" w:hAnsi="Times New Roman" w:cs="Times New Roman"/>
          <w:sz w:val="24"/>
          <w:szCs w:val="24"/>
        </w:rPr>
        <w:t>2.</w:t>
      </w:r>
      <w:r w:rsidR="0098692B" w:rsidRPr="0098692B">
        <w:rPr>
          <w:rFonts w:ascii="Times New Roman" w:hAnsi="Times New Roman" w:cs="Times New Roman"/>
          <w:sz w:val="24"/>
          <w:szCs w:val="24"/>
        </w:rPr>
        <w:t xml:space="preserve">Podmiot ubiegający się o jej przyznanie w okresie 3 lat poprzedzających dzień złożenia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692B" w:rsidRPr="0098692B">
        <w:rPr>
          <w:rFonts w:ascii="Times New Roman" w:hAnsi="Times New Roman" w:cs="Times New Roman"/>
          <w:sz w:val="24"/>
          <w:szCs w:val="24"/>
        </w:rPr>
        <w:t>wniosku o przyznanie pomocy wykonywał łącznie co najmniej przez 365 dni działalność gospodarczą, do której stosuje się przepisy z ustawy z dnia  2 lipca 2004 r. o swobodzie działalności gospodarczej oraz nadal wykonuje tę działalność;</w:t>
      </w:r>
    </w:p>
    <w:p w:rsidR="0098692B" w:rsidRDefault="0098692B" w:rsidP="00A74055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operacje w zakresie określonym § 2 ust. 1 pkt 2 lit. a albo upłynęło co najmniej 2 lata od dnia przyznania temu podmiotowi pomocy na operację w zakresie określonym w § 2 ust. 1 pkt 2 lit. a.</w:t>
      </w:r>
    </w:p>
    <w:p w:rsidR="00EA2B64" w:rsidRPr="00EA2B64" w:rsidRDefault="00EA2B64" w:rsidP="00A74055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Podmiotowi ubiegającemu się o jej przyznanie nie została dotychczas przyznana pomoc na utworzenie lub rozwój inkubatora przetwórstwa lokalnego – 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przypadku PKD jako produkcja </w:t>
      </w:r>
      <w:r w:rsidR="005A03D8">
        <w:rPr>
          <w:rFonts w:ascii="Times New Roman" w:hAnsi="Times New Roman" w:cs="Times New Roman"/>
          <w:sz w:val="24"/>
          <w:szCs w:val="24"/>
        </w:rPr>
        <w:t>artykułów</w:t>
      </w:r>
      <w:r>
        <w:rPr>
          <w:rFonts w:ascii="Times New Roman" w:hAnsi="Times New Roman" w:cs="Times New Roman"/>
          <w:sz w:val="24"/>
          <w:szCs w:val="24"/>
        </w:rPr>
        <w:t xml:space="preserve"> spożywczych lub produkcja napojów.</w:t>
      </w:r>
    </w:p>
    <w:p w:rsidR="006D0701" w:rsidRPr="006D0701" w:rsidRDefault="006D0701" w:rsidP="00EA2B64">
      <w:pPr>
        <w:pStyle w:val="Akapitzlist"/>
        <w:spacing w:line="360" w:lineRule="auto"/>
        <w:ind w:left="144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5A03D8" w:rsidRDefault="00901652" w:rsidP="001635F9">
      <w:pPr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3D8" w:rsidRPr="005A03D8" w:rsidRDefault="00901652" w:rsidP="005A03D8">
      <w:pPr>
        <w:pStyle w:val="Akapitzlist"/>
        <w:numPr>
          <w:ilvl w:val="0"/>
          <w:numId w:val="2"/>
        </w:num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03D8">
        <w:rPr>
          <w:rFonts w:ascii="Times New Roman" w:eastAsia="Times New Roman" w:hAnsi="Times New Roman" w:cs="Times New Roman"/>
          <w:sz w:val="24"/>
          <w:szCs w:val="24"/>
        </w:rPr>
        <w:t>Ogólne (dokumentacje techniczne, kosztorysy itp.) w wysokości nieprzekraczającej 10% pozostałych kosztów kwalifikowalnych.</w:t>
      </w:r>
      <w:r w:rsidR="001635F9" w:rsidRPr="005A03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A03D8" w:rsidRPr="00E5204B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5A03D8" w:rsidRPr="00E5204B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5A03D8" w:rsidRPr="00E5204B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5A03D8" w:rsidRPr="00E5204B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5A03D8" w:rsidRPr="00E5204B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Zakupu środków transportu (z wyłączeniem zakupu samochodów osobowych przeznaczonych do przewozu mniej niż 8 osób łącznie z kierowcą), w wysokości nieprzekraczającej 30% pozostałych kosztów kwalifikowalnych pomniejszonych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5A03D8" w:rsidRPr="00C46BFE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lang w:eastAsia="en-US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rzeczy innych niż wymienione w pkt 4 i 5, w tym materiałów,</w:t>
      </w:r>
    </w:p>
    <w:p w:rsidR="005A03D8" w:rsidRPr="00A51991" w:rsidRDefault="005A03D8" w:rsidP="005A03D8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 w:rsidRPr="00E5204B">
        <w:rPr>
          <w:rFonts w:ascii="Times New Roman" w:hAnsi="Times New Roman" w:cs="Times New Roman"/>
          <w:sz w:val="24"/>
          <w:szCs w:val="24"/>
        </w:rPr>
        <w:t xml:space="preserve">Podatek od towarów i usług (VAT). </w:t>
      </w:r>
    </w:p>
    <w:p w:rsidR="005A03D8" w:rsidRDefault="005A03D8" w:rsidP="005A03D8">
      <w:pPr>
        <w:numPr>
          <w:ilvl w:val="0"/>
          <w:numId w:val="2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Wkład niepieniężny wnioskodawcy wyliczony na podstawie wzoru 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4D5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CC232" wp14:editId="37F2D53A">
                <wp:simplePos x="0" y="0"/>
                <wp:positionH relativeFrom="column">
                  <wp:posOffset>873760</wp:posOffset>
                </wp:positionH>
                <wp:positionV relativeFrom="paragraph">
                  <wp:posOffset>248920</wp:posOffset>
                </wp:positionV>
                <wp:extent cx="1668780" cy="15240"/>
                <wp:effectExtent l="6985" t="10795" r="10160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25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8.8pt;margin-top:19.6pt;width:131.4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c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"/>
            </w:pict>
          </mc:Fallback>
        </mc:AlternateContent>
      </w:r>
      <w:r w:rsidRPr="00D34D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D5D">
        <w:rPr>
          <w:rFonts w:ascii="Times New Roman" w:hAnsi="Times New Roman" w:cs="Times New Roman"/>
          <w:b/>
          <w:sz w:val="24"/>
          <w:szCs w:val="24"/>
        </w:rPr>
        <w:t xml:space="preserve">                  B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b/>
          <w:sz w:val="24"/>
          <w:szCs w:val="24"/>
        </w:rPr>
        <w:t xml:space="preserve"> A   x                   168                     </w:t>
      </w:r>
      <w:r w:rsidRPr="00D34D5D">
        <w:rPr>
          <w:rFonts w:ascii="Times New Roman" w:hAnsi="Times New Roman" w:cs="Times New Roman"/>
          <w:sz w:val="24"/>
          <w:szCs w:val="24"/>
        </w:rPr>
        <w:t xml:space="preserve">  , gdzie: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24"/>
          <w:szCs w:val="24"/>
        </w:rPr>
        <w:t>A – Liczba przepracowanych godzin,</w:t>
      </w:r>
    </w:p>
    <w:p w:rsidR="005A03D8" w:rsidRPr="00D34D5D" w:rsidRDefault="005A03D8" w:rsidP="005A03D8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34D5D">
        <w:rPr>
          <w:rFonts w:ascii="Times New Roman" w:hAnsi="Times New Roman" w:cs="Times New Roman"/>
          <w:sz w:val="24"/>
          <w:szCs w:val="24"/>
        </w:rPr>
        <w:t>B  – przeciętne wynagrodzenie w gospodarce narodowej w drugim roku poprzedzającym rok, w którym złożono wniosek o przyznanie pomocy.</w:t>
      </w:r>
    </w:p>
    <w:p w:rsidR="005A03D8" w:rsidRDefault="005A03D8" w:rsidP="001635F9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35F9" w:rsidRPr="001635F9" w:rsidRDefault="001635F9" w:rsidP="001635F9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Koszty kwalifikowane podlegają refundacji w pełnej wysokości ,jeżeli zostały:</w:t>
      </w:r>
    </w:p>
    <w:p w:rsidR="001635F9" w:rsidRPr="001635F9" w:rsidRDefault="001635F9" w:rsidP="001635F9">
      <w:pPr>
        <w:numPr>
          <w:ilvl w:val="0"/>
          <w:numId w:val="8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Poniesione od dnia, w którym została zawarta umowa, a w przypadków kosztów ogólnych -od dnia 1 stycznia 2014r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635F9" w:rsidRPr="001635F9" w:rsidRDefault="001635F9" w:rsidP="001635F9">
      <w:pPr>
        <w:numPr>
          <w:ilvl w:val="0"/>
          <w:numId w:val="8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przepi</w:t>
      </w:r>
      <w:r w:rsidR="00B732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sami o zamówieniach publicznych, a gdy te przepisy nie mają zastosowania – w wyniku wyboru przez beneficjenta wykonawców poszczególnych zadań ujętych </w:t>
      </w:r>
      <w:r w:rsidR="00A6666B">
        <w:rPr>
          <w:rFonts w:ascii="Times New Roman" w:eastAsiaTheme="minorHAnsi" w:hAnsi="Times New Roman" w:cs="Times New Roman"/>
          <w:sz w:val="24"/>
          <w:szCs w:val="24"/>
          <w:lang w:eastAsia="en-US"/>
        </w:rPr>
        <w:t>w zestawieniu rzeczowo- finansowym operacji z zachowaniem konkurencyjnego trybu ich wyboru określonego w ustawie;</w:t>
      </w:r>
    </w:p>
    <w:p w:rsidR="001635F9" w:rsidRDefault="001635F9" w:rsidP="001635F9">
      <w:pPr>
        <w:numPr>
          <w:ilvl w:val="0"/>
          <w:numId w:val="8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W formie rozliczenia pieniężnego, a w przypadku transakcji, której wartość , bez względu na liczbę wynikających z niej płatności , przekracza 1000 zł- w formie rozliczenia bezgotówkowego.</w:t>
      </w:r>
    </w:p>
    <w:p w:rsidR="00A6666B" w:rsidRDefault="00A6666B" w:rsidP="00A6666B">
      <w:pPr>
        <w:spacing w:line="360" w:lineRule="auto"/>
        <w:ind w:left="720"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rozwijania działalności gospodarczej </w:t>
      </w:r>
      <w:r w:rsidRPr="00CB53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 przysługuje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następująca po zbiorach.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Górnictwo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Przetwarzanie i konserwowanie ryb, skorupiaków i mięczaków.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Wytwarzanie i przetwarzanie koksu i produktów rafinacji ropy naftowej.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chemikaliów oraz wyrobów chemicznych.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>Produkcja podstawowych substancji farmaceutycznych oraz leków i pozostałych.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metali.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pojazdów samochodowych, przyczep i naczep z wyłączeniem motocykli.</w:t>
      </w:r>
    </w:p>
    <w:p w:rsid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Transport lotniczy i kolejowy i gospodarka magazynowa</w:t>
      </w:r>
      <w:r w:rsidRPr="000C1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296" w:rsidRDefault="00B73296" w:rsidP="00B7329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296" w:rsidRDefault="00B73296" w:rsidP="00B73296">
      <w:pPr>
        <w:spacing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Zobowiązania beneficjenta: </w:t>
      </w:r>
    </w:p>
    <w:p w:rsidR="00B73296" w:rsidRPr="00EA2B64" w:rsidRDefault="00B73296" w:rsidP="00B73296">
      <w:pPr>
        <w:pStyle w:val="Akapitzlist"/>
        <w:numPr>
          <w:ilvl w:val="0"/>
          <w:numId w:val="12"/>
        </w:numPr>
        <w:spacing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>zapewnienie trwałości operacji  do dnia, w który</w:t>
      </w:r>
      <w:r>
        <w:rPr>
          <w:rFonts w:ascii="Times New Roman" w:hAnsi="Times New Roman" w:cs="Times New Roman"/>
          <w:sz w:val="24"/>
          <w:szCs w:val="24"/>
        </w:rPr>
        <w:t xml:space="preserve">m upłynie 3 lata od dnia wypłaty </w:t>
      </w:r>
      <w:r w:rsidRPr="00EA2B64">
        <w:rPr>
          <w:rFonts w:ascii="Times New Roman" w:hAnsi="Times New Roman" w:cs="Times New Roman"/>
          <w:sz w:val="24"/>
          <w:szCs w:val="24"/>
        </w:rPr>
        <w:t xml:space="preserve">płatności końcowej, zgodnie z art..71 </w:t>
      </w:r>
      <w:r w:rsidRPr="00EA2B64">
        <w:rPr>
          <w:rFonts w:ascii="Times New Roman" w:hAnsi="Times New Roman" w:cs="Times New Roman"/>
          <w:b/>
          <w:sz w:val="24"/>
          <w:szCs w:val="24"/>
        </w:rPr>
        <w:t>Rozporządzenia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1303/2013</w:t>
      </w:r>
      <w:r w:rsidRPr="00EA2B64">
        <w:rPr>
          <w:rFonts w:ascii="Times New Roman" w:hAnsi="Times New Roman" w:cs="Times New Roman"/>
          <w:b/>
          <w:sz w:val="24"/>
          <w:szCs w:val="24"/>
        </w:rPr>
        <w:t>;</w:t>
      </w:r>
    </w:p>
    <w:p w:rsidR="00B73296" w:rsidRPr="00EA2B64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>Utrzymanie miejsc pracy, w tym miejsc pracy, które zostaną utworzone w ramach realizacji operacji, do dnia, w którym upłynie 3 lata od dnia wypłaty płatności końcowej.</w:t>
      </w:r>
    </w:p>
    <w:p w:rsidR="00B73296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 xml:space="preserve">Beneficjent jest  zobowiązany do przechowywania dokumentów związanych z przyznaną pomocą do dnia, w którym upłynie 5 lat od </w:t>
      </w:r>
      <w:r>
        <w:rPr>
          <w:rFonts w:ascii="Times New Roman" w:hAnsi="Times New Roman" w:cs="Times New Roman"/>
          <w:sz w:val="24"/>
          <w:szCs w:val="24"/>
        </w:rPr>
        <w:t>dnia wypłaty płatności końcowej</w:t>
      </w:r>
      <w:r w:rsidRPr="00EA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96" w:rsidRPr="00EA2B64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wszystkich transakcji związanych z operacją w oddzielnym systemie rachunkowości albo wykorzystywania do ich identyfikacji odpowiedniego kodu rachunkowego.</w:t>
      </w:r>
    </w:p>
    <w:p w:rsidR="00B73296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64">
        <w:rPr>
          <w:rFonts w:ascii="Times New Roman" w:hAnsi="Times New Roman" w:cs="Times New Roman"/>
          <w:sz w:val="24"/>
          <w:szCs w:val="24"/>
        </w:rPr>
        <w:t xml:space="preserve">Należy zachować konkurencyjny tryb wyboru wykonawców poszczególnych zadań ujętych w zestawieniu rzeczowo-finansowym operacji, w przypadku, gdy do ich wyboru nie mają zastosowania przepisy o zamówieniach publicznych. </w:t>
      </w:r>
    </w:p>
    <w:p w:rsidR="00B73296" w:rsidRPr="00EA2B64" w:rsidRDefault="00B73296" w:rsidP="00B73296">
      <w:pPr>
        <w:numPr>
          <w:ilvl w:val="0"/>
          <w:numId w:val="13"/>
        </w:numPr>
        <w:spacing w:line="360" w:lineRule="auto"/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beneficjenta do osiągnięcia co najmniej 30% zakładanego w biznesplanie ilościowego lub wartościowego poziomu sprzedaży produktu lub usług do dnia w którym upłynie rok od dnia wypłaty płatności końcowej.</w:t>
      </w:r>
    </w:p>
    <w:p w:rsidR="00B73296" w:rsidRPr="000C1F7B" w:rsidRDefault="00B73296" w:rsidP="00B732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48" w:rsidRDefault="00B12B9B" w:rsidP="00E5204B">
      <w:pPr>
        <w:spacing w:before="100" w:beforeAutospacing="1" w:after="100" w:afterAutospacing="1" w:line="240" w:lineRule="auto"/>
        <w:ind w:left="720" w:right="411"/>
        <w:jc w:val="both"/>
      </w:pPr>
      <w:r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6C2D11">
      <w:pPr>
        <w:tabs>
          <w:tab w:val="left" w:pos="708"/>
          <w:tab w:val="left" w:pos="1335"/>
        </w:tabs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 w:rsidR="006C2D11"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E5204B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5C"/>
    <w:multiLevelType w:val="multilevel"/>
    <w:tmpl w:val="132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B3AB2"/>
    <w:multiLevelType w:val="hybridMultilevel"/>
    <w:tmpl w:val="E91C689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9D036C"/>
    <w:multiLevelType w:val="hybridMultilevel"/>
    <w:tmpl w:val="0BFA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0C00"/>
    <w:multiLevelType w:val="hybridMultilevel"/>
    <w:tmpl w:val="0666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F68"/>
    <w:multiLevelType w:val="hybridMultilevel"/>
    <w:tmpl w:val="66FA0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F7C7A"/>
    <w:multiLevelType w:val="hybridMultilevel"/>
    <w:tmpl w:val="4BA0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71929"/>
    <w:multiLevelType w:val="multilevel"/>
    <w:tmpl w:val="D79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200C9"/>
    <w:multiLevelType w:val="hybridMultilevel"/>
    <w:tmpl w:val="8CA6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77B54"/>
    <w:multiLevelType w:val="hybridMultilevel"/>
    <w:tmpl w:val="4CE0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6FB0"/>
    <w:multiLevelType w:val="multilevel"/>
    <w:tmpl w:val="FBC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C4E7D"/>
    <w:multiLevelType w:val="multilevel"/>
    <w:tmpl w:val="8336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E49C8"/>
    <w:multiLevelType w:val="hybridMultilevel"/>
    <w:tmpl w:val="2EF4A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8C6E2C"/>
    <w:multiLevelType w:val="hybridMultilevel"/>
    <w:tmpl w:val="815ACE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E17D5"/>
    <w:multiLevelType w:val="hybridMultilevel"/>
    <w:tmpl w:val="D21E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48"/>
    <w:rsid w:val="00073C69"/>
    <w:rsid w:val="00081F03"/>
    <w:rsid w:val="000D5F0D"/>
    <w:rsid w:val="000E508D"/>
    <w:rsid w:val="00112CE2"/>
    <w:rsid w:val="001635F9"/>
    <w:rsid w:val="0017062A"/>
    <w:rsid w:val="001C402F"/>
    <w:rsid w:val="002302E7"/>
    <w:rsid w:val="002758D1"/>
    <w:rsid w:val="00277EFF"/>
    <w:rsid w:val="00286CEB"/>
    <w:rsid w:val="00393750"/>
    <w:rsid w:val="003F1BEB"/>
    <w:rsid w:val="0046618E"/>
    <w:rsid w:val="00491AE0"/>
    <w:rsid w:val="004E48F3"/>
    <w:rsid w:val="005A03D8"/>
    <w:rsid w:val="005F3113"/>
    <w:rsid w:val="00646705"/>
    <w:rsid w:val="006C2D11"/>
    <w:rsid w:val="006D0701"/>
    <w:rsid w:val="006D6F7A"/>
    <w:rsid w:val="0070392F"/>
    <w:rsid w:val="00703B9D"/>
    <w:rsid w:val="00762A09"/>
    <w:rsid w:val="00896A78"/>
    <w:rsid w:val="008B30E9"/>
    <w:rsid w:val="008F71D6"/>
    <w:rsid w:val="00901652"/>
    <w:rsid w:val="00964355"/>
    <w:rsid w:val="00966226"/>
    <w:rsid w:val="0098692B"/>
    <w:rsid w:val="009B29B1"/>
    <w:rsid w:val="00A51991"/>
    <w:rsid w:val="00A6666B"/>
    <w:rsid w:val="00A74055"/>
    <w:rsid w:val="00AB2848"/>
    <w:rsid w:val="00AB458E"/>
    <w:rsid w:val="00B12B9B"/>
    <w:rsid w:val="00B26E5B"/>
    <w:rsid w:val="00B36F0B"/>
    <w:rsid w:val="00B71FE4"/>
    <w:rsid w:val="00B73296"/>
    <w:rsid w:val="00BC1B8F"/>
    <w:rsid w:val="00BC5E6D"/>
    <w:rsid w:val="00BE60AC"/>
    <w:rsid w:val="00C46BFE"/>
    <w:rsid w:val="00CA25A8"/>
    <w:rsid w:val="00CA5DB1"/>
    <w:rsid w:val="00CB5316"/>
    <w:rsid w:val="00CE5748"/>
    <w:rsid w:val="00D17C13"/>
    <w:rsid w:val="00D2520D"/>
    <w:rsid w:val="00D34D5D"/>
    <w:rsid w:val="00D350DE"/>
    <w:rsid w:val="00D8635C"/>
    <w:rsid w:val="00DE7D35"/>
    <w:rsid w:val="00E02F20"/>
    <w:rsid w:val="00E24A33"/>
    <w:rsid w:val="00E45886"/>
    <w:rsid w:val="00E461C9"/>
    <w:rsid w:val="00E5204B"/>
    <w:rsid w:val="00EA2B64"/>
    <w:rsid w:val="00EE56E4"/>
    <w:rsid w:val="00F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B333"/>
  <w15:docId w15:val="{C378D1E3-4D05-485A-B604-5DE7208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czarnoziem nasoli</cp:lastModifiedBy>
  <cp:revision>2</cp:revision>
  <cp:lastPrinted>2016-09-02T08:58:00Z</cp:lastPrinted>
  <dcterms:created xsi:type="dcterms:W3CDTF">2016-09-06T12:55:00Z</dcterms:created>
  <dcterms:modified xsi:type="dcterms:W3CDTF">2016-09-06T12:55:00Z</dcterms:modified>
</cp:coreProperties>
</file>